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3D68" w14:textId="7F05246A" w:rsidR="00456FF5" w:rsidRDefault="00983B02" w:rsidP="00060A59">
      <w:pPr>
        <w:jc w:val="right"/>
        <w:rPr>
          <w:rFonts w:ascii="Century Gothic" w:hAnsi="Century Gothic" w:cs="Arial Narrow"/>
          <w:sz w:val="20"/>
          <w:szCs w:val="20"/>
        </w:rPr>
      </w:pPr>
      <w:r w:rsidRPr="0077626C">
        <w:rPr>
          <w:noProof/>
        </w:rPr>
        <w:drawing>
          <wp:inline distT="0" distB="0" distL="0" distR="0" wp14:anchorId="1061461F" wp14:editId="7ECBCE60">
            <wp:extent cx="5760720" cy="421381"/>
            <wp:effectExtent l="0" t="0" r="0" b="0"/>
            <wp:docPr id="2" name="Obraz 2" descr="C:\Users\Admin\Downloads\Poziom dwuwierszow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oziom dwuwierszow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21381"/>
                    </a:xfrm>
                    <a:prstGeom prst="rect">
                      <a:avLst/>
                    </a:prstGeom>
                    <a:noFill/>
                    <a:ln>
                      <a:noFill/>
                    </a:ln>
                  </pic:spPr>
                </pic:pic>
              </a:graphicData>
            </a:graphic>
          </wp:inline>
        </w:drawing>
      </w:r>
    </w:p>
    <w:p w14:paraId="0352EC60" w14:textId="1256C559" w:rsidR="001A477A" w:rsidRDefault="001A477A" w:rsidP="00060A59">
      <w:pPr>
        <w:jc w:val="right"/>
        <w:rPr>
          <w:rFonts w:ascii="Century Gothic" w:hAnsi="Century Gothic" w:cs="Arial Narrow"/>
          <w:sz w:val="20"/>
          <w:szCs w:val="20"/>
        </w:rPr>
      </w:pPr>
    </w:p>
    <w:p w14:paraId="25DD9A6F" w14:textId="22551BDC" w:rsidR="001A477A" w:rsidRDefault="001A477A" w:rsidP="00060A59">
      <w:pPr>
        <w:jc w:val="right"/>
        <w:rPr>
          <w:rFonts w:ascii="Century Gothic" w:hAnsi="Century Gothic" w:cs="Arial Narrow"/>
          <w:sz w:val="20"/>
          <w:szCs w:val="20"/>
        </w:rPr>
      </w:pPr>
    </w:p>
    <w:p w14:paraId="361A9CDE" w14:textId="77777777" w:rsidR="001A477A" w:rsidRDefault="001A477A" w:rsidP="00060A59">
      <w:pPr>
        <w:jc w:val="right"/>
        <w:rPr>
          <w:rFonts w:ascii="Century Gothic" w:hAnsi="Century Gothic" w:cs="Arial Narrow"/>
          <w:sz w:val="20"/>
          <w:szCs w:val="20"/>
        </w:rPr>
      </w:pPr>
    </w:p>
    <w:p w14:paraId="5572982B" w14:textId="77777777"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 xml:space="preserve">de </w:t>
      </w:r>
      <w:proofErr w:type="spellStart"/>
      <w:r w:rsidRPr="00404F2B">
        <w:rPr>
          <w:rFonts w:ascii="Century Gothic" w:hAnsi="Century Gothic"/>
          <w:b/>
          <w:i/>
        </w:rPr>
        <w:t>minimis</w:t>
      </w:r>
      <w:proofErr w:type="spellEnd"/>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główna)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poboczna)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złotych:_________________________________________________________________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__;  __ __ __-__ __ __-__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4F2129AE" w14:textId="77777777" w:rsidR="00110805" w:rsidRPr="00404F2B" w:rsidRDefault="00110805" w:rsidP="009B5480">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t>I. POTENCJAŁ I WYKSZTAŁCENIE WNIOSKODAWCY</w:t>
      </w:r>
    </w:p>
    <w:p w14:paraId="4648D918" w14:textId="42145077" w:rsidR="00110805" w:rsidRDefault="00110805" w:rsidP="00110805">
      <w:pPr>
        <w:pStyle w:val="SubTitle2"/>
        <w:spacing w:after="0" w:line="276" w:lineRule="auto"/>
        <w:ind w:right="-218"/>
        <w:jc w:val="left"/>
        <w:rPr>
          <w:rFonts w:ascii="Century Gothic" w:hAnsi="Century Gothic" w:cs="Arial"/>
          <w:bCs w:val="0"/>
          <w:iCs/>
          <w:color w:val="000000"/>
          <w:sz w:val="20"/>
          <w:szCs w:val="20"/>
        </w:rPr>
      </w:pPr>
    </w:p>
    <w:p w14:paraId="205FCEA8" w14:textId="77777777"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078DCE0A" w14:textId="127A195D"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11AEE011"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49246399" w14:textId="3F01CE1C"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56986304" w14:textId="7777777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13128331" w:rsidR="000B173E" w:rsidRPr="000B173E" w:rsidRDefault="00110805" w:rsidP="000B173E">
            <w:pPr>
              <w:pStyle w:val="Akapitzlist"/>
              <w:widowControl w:val="0"/>
              <w:numPr>
                <w:ilvl w:val="0"/>
                <w:numId w:val="36"/>
              </w:numPr>
              <w:suppressLineNumbers/>
              <w:suppressAutoHyphens/>
              <w:autoSpaceDE w:val="0"/>
              <w:spacing w:before="120"/>
              <w:rPr>
                <w:rFonts w:ascii="Century Gothic" w:eastAsia="Lucida Sans Unicode" w:hAnsi="Century Gothic" w:cs="Arial"/>
                <w:b/>
                <w:bCs/>
                <w:color w:val="000000"/>
                <w:sz w:val="20"/>
                <w:szCs w:val="20"/>
              </w:rPr>
            </w:pPr>
            <w:r w:rsidRPr="004E253A">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6B690442" w:rsidR="00110805" w:rsidRPr="00CB1F4D" w:rsidRDefault="00110805"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00443083" w:rsidRPr="004E253A">
              <w:rPr>
                <w:rFonts w:ascii="Century Gothic" w:eastAsia="Lucida Sans Unicode" w:hAnsi="Century Gothic" w:cs="Arial"/>
                <w:bCs/>
                <w:color w:val="000000"/>
                <w:sz w:val="18"/>
                <w:szCs w:val="18"/>
              </w:rPr>
              <w:t xml:space="preserv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7777777"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podać okres w jakim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77777777" w:rsidR="000B173E" w:rsidRPr="00404F2B" w:rsidRDefault="000B173E" w:rsidP="00110805">
      <w:pPr>
        <w:rPr>
          <w:rFonts w:ascii="Century Gothic" w:hAnsi="Century Gothic"/>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BA1EDD7" w:rsidR="00110805" w:rsidRPr="00404F2B" w:rsidRDefault="004E253A"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2</w:t>
            </w:r>
            <w:r w:rsidR="009A67DD">
              <w:rPr>
                <w:rFonts w:ascii="Century Gothic" w:eastAsia="Lucida Sans Unicode" w:hAnsi="Century Gothic"/>
                <w:b/>
                <w:color w:val="000000"/>
                <w:sz w:val="20"/>
                <w:szCs w:val="20"/>
              </w:rPr>
              <w:t>.</w:t>
            </w:r>
            <w:r>
              <w:rPr>
                <w:rFonts w:ascii="Century Gothic" w:eastAsia="Lucida Sans Unicode" w:hAnsi="Century Gothic"/>
                <w:b/>
                <w:color w:val="000000"/>
                <w:sz w:val="20"/>
                <w:szCs w:val="20"/>
              </w:rPr>
              <w:t xml:space="preserve"> </w:t>
            </w:r>
            <w:r w:rsidR="00110805" w:rsidRPr="00404F2B">
              <w:rPr>
                <w:rFonts w:ascii="Century Gothic" w:eastAsia="Lucida Sans Unicode" w:hAnsi="Century Gothic"/>
                <w:b/>
                <w:color w:val="000000"/>
                <w:sz w:val="20"/>
                <w:szCs w:val="20"/>
              </w:rPr>
              <w:t xml:space="preserve"> INFORMACJE  </w:t>
            </w:r>
            <w:r w:rsidR="00110805" w:rsidRPr="00404F2B">
              <w:rPr>
                <w:rFonts w:ascii="Century Gothic" w:eastAsia="Lucida Sans Unicode" w:hAnsi="Century Gothic"/>
                <w:b/>
                <w:color w:val="000000"/>
                <w:sz w:val="20"/>
                <w:szCs w:val="20"/>
                <w:shd w:val="clear" w:color="auto" w:fill="D9D9D9"/>
              </w:rPr>
              <w:t>DOTYCZĄCE</w:t>
            </w:r>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Adres siedziby prowadzenia  przyszłej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078A3015" w14:textId="77777777" w:rsidR="005E0BE6" w:rsidRDefault="005E0BE6" w:rsidP="00586D94">
            <w:pPr>
              <w:ind w:right="-218"/>
              <w:rPr>
                <w:rFonts w:ascii="Century Gothic" w:hAnsi="Century Gothic"/>
                <w:sz w:val="18"/>
                <w:szCs w:val="18"/>
              </w:rPr>
            </w:pPr>
          </w:p>
          <w:p w14:paraId="4A8DB391" w14:textId="77777777"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774B3A6D"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Kim będą odbiorcy  produktów lub usług?  ( gdzie i w jaki sposób będzie prowadzona  sprzedaż  produktów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Proszę uzasadnić konieczność  poniesienia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43FE157D" w:rsidR="00110805" w:rsidRDefault="00110805" w:rsidP="00110805">
      <w:pPr>
        <w:rPr>
          <w:rFonts w:ascii="Century Gothic" w:hAnsi="Century Gothic"/>
          <w:color w:val="000000"/>
          <w:sz w:val="20"/>
          <w:szCs w:val="20"/>
        </w:rPr>
      </w:pP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77777777" w:rsidR="00110805" w:rsidRPr="00404F2B" w:rsidRDefault="002B130A" w:rsidP="00451868">
            <w:pPr>
              <w:ind w:right="-218"/>
              <w:jc w:val="both"/>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3</w:t>
            </w:r>
            <w:r w:rsidR="00110805" w:rsidRPr="00404F2B">
              <w:rPr>
                <w:rFonts w:ascii="Century Gothic" w:eastAsia="Lucida Sans Unicode" w:hAnsi="Century Gothic" w:cs="Arial"/>
                <w:b/>
                <w:bCs/>
                <w:color w:val="000000"/>
                <w:sz w:val="20"/>
                <w:szCs w:val="20"/>
              </w:rPr>
              <w:t xml:space="preserve">. 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finansowe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379718D1" w14:textId="5BBE3B1D" w:rsidR="00BA7258" w:rsidRDefault="00BA7258" w:rsidP="00060A59">
      <w:pPr>
        <w:rPr>
          <w:rFonts w:ascii="Century Gothic" w:hAnsi="Century Gothic"/>
          <w:color w:val="000000"/>
          <w:sz w:val="20"/>
          <w:szCs w:val="20"/>
        </w:rPr>
      </w:pPr>
    </w:p>
    <w:p w14:paraId="2BEEB17C" w14:textId="77777777"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w:t>
      </w:r>
      <w:proofErr w:type="spellStart"/>
      <w:r w:rsidR="00426F77" w:rsidRPr="00806D71">
        <w:rPr>
          <w:rFonts w:ascii="Century Gothic" w:hAnsi="Century Gothic"/>
          <w:sz w:val="20"/>
          <w:szCs w:val="20"/>
        </w:rPr>
        <w:t>minimis</w:t>
      </w:r>
      <w:proofErr w:type="spellEnd"/>
      <w:r w:rsidR="00426F77" w:rsidRPr="00806D71">
        <w:rPr>
          <w:rFonts w:ascii="Century Gothic" w:hAnsi="Century Gothic"/>
          <w:sz w:val="20"/>
          <w:szCs w:val="20"/>
        </w:rPr>
        <w:t>.</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w:t>
      </w:r>
      <w:proofErr w:type="spellStart"/>
      <w:r w:rsidRPr="00404F2B">
        <w:rPr>
          <w:rFonts w:ascii="Century Gothic" w:hAnsi="Century Gothic"/>
          <w:iCs/>
          <w:sz w:val="20"/>
          <w:szCs w:val="20"/>
        </w:rPr>
        <w:t>minimis</w:t>
      </w:r>
      <w:proofErr w:type="spellEnd"/>
      <w:r w:rsidRPr="00404F2B">
        <w:rPr>
          <w:rFonts w:ascii="Century Gothic" w:hAnsi="Century Gothic"/>
          <w:iCs/>
          <w:sz w:val="20"/>
          <w:szCs w:val="20"/>
        </w:rPr>
        <w:t>,</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 xml:space="preserve">de </w:t>
      </w:r>
      <w:proofErr w:type="spellStart"/>
      <w:r w:rsidRPr="00404F2B">
        <w:rPr>
          <w:rFonts w:ascii="Century Gothic" w:hAnsi="Century Gothic"/>
          <w:i/>
          <w:iCs/>
          <w:sz w:val="20"/>
          <w:szCs w:val="20"/>
        </w:rPr>
        <w:t>minimis</w:t>
      </w:r>
      <w:proofErr w:type="spellEnd"/>
      <w:r w:rsidRPr="00404F2B">
        <w:rPr>
          <w:rFonts w:ascii="Century Gothic" w:hAnsi="Century Gothic"/>
          <w:iCs/>
          <w:sz w:val="20"/>
          <w:szCs w:val="20"/>
        </w:rPr>
        <w:t>,</w:t>
      </w:r>
    </w:p>
    <w:p w14:paraId="2E5AF59D"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spełniam warunki, o których mowa w rozporządzeniu Komisji (UE) nr 1407/2013 z dnia 18 grudnia 2013 r. w sprawie stosowania art. 107 i 108 Traktatu o funkcjonowaniu Unii Europejskiej do pomocy </w:t>
      </w:r>
      <w:r w:rsidRPr="00404F2B">
        <w:rPr>
          <w:rFonts w:ascii="Century Gothic" w:hAnsi="Century Gothic"/>
          <w:i/>
          <w:iCs/>
          <w:sz w:val="20"/>
          <w:szCs w:val="20"/>
        </w:rPr>
        <w:t xml:space="preserve">de </w:t>
      </w:r>
      <w:proofErr w:type="spellStart"/>
      <w:r w:rsidRPr="00404F2B">
        <w:rPr>
          <w:rFonts w:ascii="Century Gothic" w:hAnsi="Century Gothic"/>
          <w:i/>
          <w:iCs/>
          <w:sz w:val="20"/>
          <w:szCs w:val="20"/>
        </w:rPr>
        <w:t>minimis</w:t>
      </w:r>
      <w:proofErr w:type="spellEnd"/>
      <w:r w:rsidRPr="00404F2B">
        <w:rPr>
          <w:rFonts w:ascii="Century Gothic" w:hAnsi="Century Gothic"/>
          <w:iCs/>
          <w:sz w:val="20"/>
          <w:szCs w:val="20"/>
        </w:rPr>
        <w:t xml:space="preserve"> (Dz. Urz. UE L 352 z 24.12.2013 r., str. 1),</w:t>
      </w:r>
    </w:p>
    <w:p w14:paraId="31ABF1F8"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przekroczenia limitu wartości pomocy 200.000 EUR w roku bieżącym oraz w dwóch poprzednich latach kalendarzowych,</w:t>
      </w:r>
    </w:p>
    <w:p w14:paraId="2C6E84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przyjmuję do wiadomości, że Dyrektorowi Powiatowego  Urzędu Pracy w Goleniowie przysługuje prawo do weryfikacji wiarygodności danych zamieszczonych we wniosku oraz zobowiązuję się przedłożyć na żądanie osoby upoważnionej przez Dyrektora Powiatowego Urzędu Pracy  niezbędne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nie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34D821D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r. o promocji zatrudnienia i instytucjach rynku pracy, w okresie 12 miesięcy od dnia rozpoczęcia prowadzenia działalności  gospodarczej (za wyjątkiem sytuacji, o której mowa w § 8 pkt 5 rozporządzenia),</w:t>
      </w:r>
    </w:p>
    <w:p w14:paraId="5A3492FC" w14:textId="6CD64FC1"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oraz  zobowiązuję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r>
        <w:rPr>
          <w:rFonts w:ascii="Century Gothic" w:hAnsi="Century Gothic"/>
          <w:sz w:val="20"/>
          <w:szCs w:val="20"/>
        </w:rPr>
        <w:t>gwarancja</w:t>
      </w:r>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obowiązujące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4D176663"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z Funduszu Pracy refundacji kosztów wyposażenia lub doposażenia stanowiska pracy oraz przyznawania środków na podjęcie działalności gospodarczej (Dz. U z 2017r. poz. 1380</w:t>
      </w:r>
      <w:r w:rsidRPr="009A3220">
        <w:rPr>
          <w:rFonts w:ascii="Century Gothic" w:hAnsi="Century Gothic"/>
          <w:sz w:val="18"/>
          <w:szCs w:val="18"/>
        </w:rPr>
        <w:t xml:space="preserve">  z późn. zm.</w:t>
      </w:r>
      <w:r w:rsidR="008473C8">
        <w:rPr>
          <w:rFonts w:ascii="Century Gothic" w:hAnsi="Century Gothic"/>
          <w:sz w:val="18"/>
          <w:szCs w:val="18"/>
        </w:rPr>
        <w:t>).</w:t>
      </w:r>
    </w:p>
    <w:p w14:paraId="07AA6766" w14:textId="3CED490C"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 xml:space="preserve">ozporządzenie Komisji (UE) nr 1407/2013 z dnia 18 grudnia 2013r. w sprawie stosowania art. 107 i 108 Traktatu o funkcjonowaniu Unii Europejskiej do pomocy </w:t>
      </w:r>
      <w:r w:rsidR="0084484B" w:rsidRPr="009A3220">
        <w:rPr>
          <w:rFonts w:ascii="Century Gothic" w:hAnsi="Century Gothic"/>
          <w:i/>
          <w:sz w:val="18"/>
          <w:szCs w:val="18"/>
        </w:rPr>
        <w:t xml:space="preserve">de </w:t>
      </w:r>
      <w:proofErr w:type="spellStart"/>
      <w:r w:rsidR="0084484B" w:rsidRPr="009A3220">
        <w:rPr>
          <w:rFonts w:ascii="Century Gothic" w:hAnsi="Century Gothic"/>
          <w:i/>
          <w:sz w:val="18"/>
          <w:szCs w:val="18"/>
        </w:rPr>
        <w:t>minimis</w:t>
      </w:r>
      <w:proofErr w:type="spellEnd"/>
      <w:r w:rsidR="0084484B" w:rsidRPr="009A3220">
        <w:rPr>
          <w:rFonts w:ascii="Century Gothic" w:hAnsi="Century Gothic"/>
          <w:sz w:val="18"/>
          <w:szCs w:val="18"/>
        </w:rPr>
        <w:t xml:space="preserve"> (Dz. Urz. U</w:t>
      </w:r>
      <w:r w:rsidR="008473C8">
        <w:rPr>
          <w:rFonts w:ascii="Century Gothic" w:hAnsi="Century Gothic"/>
          <w:sz w:val="18"/>
          <w:szCs w:val="18"/>
        </w:rPr>
        <w:t>E L 352/1 z 24.12.2013, str. 1).</w:t>
      </w:r>
    </w:p>
    <w:p w14:paraId="2F4D5DF1" w14:textId="57891584"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 xml:space="preserve">Rozporządzenie Rady Ministrów z dnia 22 lutego 2013r. w sprawie zakresu informacji przedstawianych przez podmiot ubiegający się o pomoc de </w:t>
      </w:r>
      <w:proofErr w:type="spellStart"/>
      <w:r w:rsidRPr="009A3220">
        <w:rPr>
          <w:rFonts w:ascii="Century Gothic" w:hAnsi="Century Gothic"/>
          <w:sz w:val="18"/>
          <w:szCs w:val="18"/>
        </w:rPr>
        <w:t>minimis</w:t>
      </w:r>
      <w:proofErr w:type="spellEnd"/>
      <w:r w:rsidRPr="009A3220">
        <w:rPr>
          <w:rFonts w:ascii="Century Gothic" w:hAnsi="Century Gothic"/>
          <w:sz w:val="18"/>
          <w:szCs w:val="18"/>
        </w:rPr>
        <w:t xml:space="preserve"> (Dz.U. z 2014, poz. 1543 z późn. zm.)</w:t>
      </w:r>
      <w:r w:rsidR="008473C8">
        <w:rPr>
          <w:rFonts w:ascii="Century Gothic" w:hAnsi="Century Gothic"/>
          <w:sz w:val="18"/>
          <w:szCs w:val="18"/>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posiadające  stałe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posiadające  stałe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które</w:t>
      </w:r>
      <w:r w:rsidR="0084484B" w:rsidRPr="009A3220">
        <w:rPr>
          <w:rFonts w:ascii="Century Gothic" w:hAnsi="Century Gothic"/>
          <w:sz w:val="18"/>
          <w:szCs w:val="18"/>
        </w:rPr>
        <w:t xml:space="preserve"> spełniają poniższe kryteria:</w:t>
      </w:r>
    </w:p>
    <w:p w14:paraId="44E8BAD5" w14:textId="474E690C"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zamierzają zarejestrować i prowadzić działalność gospodarczą</w:t>
      </w:r>
      <w:r w:rsidRPr="000438CA">
        <w:rPr>
          <w:rFonts w:ascii="Century Gothic" w:hAnsi="Century Gothic"/>
          <w:b/>
          <w:sz w:val="18"/>
          <w:szCs w:val="18"/>
        </w:rPr>
        <w:t>.</w:t>
      </w:r>
    </w:p>
    <w:p w14:paraId="2F54653B" w14:textId="042C299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zamierzają podjąć działalność gospodarczą, w tym polegającą na prowadzeniu żłobka</w:t>
      </w:r>
      <w:r w:rsidR="00C321DB">
        <w:rPr>
          <w:rFonts w:ascii="Century Gothic" w:hAnsi="Century Gothic"/>
          <w:sz w:val="18"/>
          <w:szCs w:val="18"/>
        </w:rPr>
        <w:t xml:space="preserve">  </w:t>
      </w:r>
      <w:r w:rsidRPr="004066C6">
        <w:rPr>
          <w:rFonts w:ascii="Century Gothic" w:hAnsi="Century Gothic"/>
          <w:sz w:val="18"/>
          <w:szCs w:val="18"/>
        </w:rPr>
        <w:t>lub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w okresie 12 miesięcy bezpośrednio poprzedzających dzień złożenia wniosku o przyznanie jednorazowo środków na podjęcie działalności gospodarczej w ramach pomocy de </w:t>
      </w:r>
      <w:proofErr w:type="spellStart"/>
      <w:r w:rsidRPr="004066C6">
        <w:rPr>
          <w:rFonts w:ascii="Century Gothic" w:hAnsi="Century Gothic"/>
          <w:sz w:val="18"/>
          <w:szCs w:val="18"/>
        </w:rPr>
        <w:t>minimis</w:t>
      </w:r>
      <w:proofErr w:type="spellEnd"/>
      <w:r w:rsidRPr="004066C6">
        <w:rPr>
          <w:rFonts w:ascii="Century Gothic" w:hAnsi="Century Gothic"/>
          <w:sz w:val="18"/>
          <w:szCs w:val="18"/>
        </w:rPr>
        <w:t>,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77777777"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14E230A8"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wynagrodzenie o którym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77777777"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wyposażenia </w:t>
      </w:r>
      <w:r w:rsidR="00317A3A" w:rsidRPr="00F10140">
        <w:rPr>
          <w:rFonts w:ascii="Century Gothic" w:hAnsi="Century Gothic"/>
          <w:sz w:val="18"/>
          <w:szCs w:val="18"/>
        </w:rPr>
        <w:t xml:space="preserve">  </w:t>
      </w:r>
      <w:r w:rsidR="00F10140" w:rsidRPr="00F10140">
        <w:rPr>
          <w:rFonts w:ascii="Century Gothic" w:hAnsi="Century Gothic"/>
          <w:sz w:val="18"/>
          <w:szCs w:val="18"/>
        </w:rPr>
        <w:t xml:space="preserve"> </w:t>
      </w:r>
      <w:r w:rsidRPr="00F10140">
        <w:rPr>
          <w:rFonts w:ascii="Century Gothic" w:hAnsi="Century Gothic"/>
          <w:sz w:val="18"/>
          <w:szCs w:val="18"/>
        </w:rPr>
        <w:t>koniecznego do utworzenia miejsca pracy związanego z charakterem działalności</w:t>
      </w:r>
      <w:r w:rsidR="006D322C" w:rsidRPr="00F10140">
        <w:rPr>
          <w:rFonts w:ascii="Century Gothic" w:hAnsi="Century Gothic"/>
          <w:sz w:val="18"/>
          <w:szCs w:val="18"/>
        </w:rPr>
        <w:t>,</w:t>
      </w:r>
    </w:p>
    <w:p w14:paraId="1D5CE9D5" w14:textId="1D472154"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2F317D">
        <w:rPr>
          <w:rFonts w:ascii="Century Gothic" w:hAnsi="Century Gothic"/>
          <w:sz w:val="18"/>
          <w:szCs w:val="18"/>
        </w:rPr>
        <w:b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5AF3B3D2" w:rsidR="00F10140" w:rsidRDefault="00733C93" w:rsidP="00FD414B">
      <w:pPr>
        <w:pStyle w:val="Akapitzlist"/>
        <w:numPr>
          <w:ilvl w:val="0"/>
          <w:numId w:val="28"/>
        </w:numPr>
        <w:spacing w:line="360" w:lineRule="auto"/>
        <w:jc w:val="both"/>
        <w:rPr>
          <w:rFonts w:ascii="Century Gothic" w:hAnsi="Century Gothic"/>
          <w:sz w:val="18"/>
          <w:szCs w:val="18"/>
        </w:rPr>
      </w:pPr>
      <w:r>
        <w:rPr>
          <w:rFonts w:ascii="Century Gothic" w:hAnsi="Century Gothic"/>
          <w:sz w:val="18"/>
          <w:szCs w:val="18"/>
        </w:rPr>
        <w:t xml:space="preserve">w uzasadnionych przypadkach </w:t>
      </w:r>
      <w:r w:rsidR="00C47F1F" w:rsidRPr="00F10140">
        <w:rPr>
          <w:rFonts w:ascii="Century Gothic" w:hAnsi="Century Gothic"/>
          <w:sz w:val="18"/>
          <w:szCs w:val="18"/>
        </w:rPr>
        <w:t>d</w:t>
      </w:r>
      <w:r w:rsidR="0084484B" w:rsidRPr="00F10140">
        <w:rPr>
          <w:rFonts w:ascii="Century Gothic" w:hAnsi="Century Gothic"/>
          <w:sz w:val="18"/>
          <w:szCs w:val="18"/>
        </w:rPr>
        <w:t>opuszcza się dokonanie zakupu używanego środk</w:t>
      </w:r>
      <w:r w:rsidR="006E402B">
        <w:rPr>
          <w:rFonts w:ascii="Century Gothic" w:hAnsi="Century Gothic"/>
          <w:sz w:val="18"/>
          <w:szCs w:val="18"/>
        </w:rPr>
        <w:t xml:space="preserve">a transportu (do 3,5 tony), do </w:t>
      </w:r>
      <w:r w:rsidRPr="008F44D5">
        <w:rPr>
          <w:rFonts w:ascii="Century Gothic" w:hAnsi="Century Gothic"/>
          <w:b/>
          <w:color w:val="000000" w:themeColor="text1"/>
          <w:sz w:val="18"/>
          <w:szCs w:val="18"/>
        </w:rPr>
        <w:t>10</w:t>
      </w:r>
      <w:r w:rsidR="009E2976" w:rsidRPr="008F44D5">
        <w:rPr>
          <w:rFonts w:ascii="Century Gothic" w:hAnsi="Century Gothic"/>
          <w:b/>
          <w:color w:val="000000" w:themeColor="text1"/>
          <w:sz w:val="18"/>
          <w:szCs w:val="18"/>
        </w:rPr>
        <w:t xml:space="preserve"> </w:t>
      </w:r>
      <w:r w:rsidR="00F10140" w:rsidRPr="008F44D5">
        <w:rPr>
          <w:rFonts w:ascii="Century Gothic" w:hAnsi="Century Gothic"/>
          <w:b/>
          <w:color w:val="000000" w:themeColor="text1"/>
          <w:sz w:val="18"/>
          <w:szCs w:val="18"/>
        </w:rPr>
        <w:t>000</w:t>
      </w:r>
      <w:r w:rsidR="006E402B" w:rsidRPr="008F44D5">
        <w:rPr>
          <w:rFonts w:ascii="Century Gothic" w:hAnsi="Century Gothic"/>
          <w:b/>
          <w:color w:val="000000" w:themeColor="text1"/>
          <w:sz w:val="18"/>
          <w:szCs w:val="18"/>
        </w:rPr>
        <w:t>,00</w:t>
      </w:r>
      <w:r w:rsidR="00F10140" w:rsidRPr="008F44D5">
        <w:rPr>
          <w:rFonts w:ascii="Century Gothic" w:hAnsi="Century Gothic"/>
          <w:color w:val="000000" w:themeColor="text1"/>
          <w:sz w:val="18"/>
          <w:szCs w:val="18"/>
        </w:rPr>
        <w:t xml:space="preserve"> </w:t>
      </w:r>
      <w:r w:rsidR="00F10140">
        <w:rPr>
          <w:rFonts w:ascii="Century Gothic" w:hAnsi="Century Gothic"/>
          <w:sz w:val="18"/>
          <w:szCs w:val="18"/>
        </w:rPr>
        <w:t>złotych wnioskowanej kwoty,</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podjęcie działalności gospodarczej, która nie może być objęta pomocą </w:t>
      </w:r>
      <w:r w:rsidRPr="009A3220">
        <w:rPr>
          <w:rFonts w:ascii="Century Gothic" w:hAnsi="Century Gothic"/>
          <w:i/>
          <w:sz w:val="18"/>
          <w:szCs w:val="18"/>
        </w:rPr>
        <w:t xml:space="preserve">de </w:t>
      </w:r>
      <w:proofErr w:type="spellStart"/>
      <w:r w:rsidRPr="009A3220">
        <w:rPr>
          <w:rFonts w:ascii="Century Gothic" w:hAnsi="Century Gothic"/>
          <w:i/>
          <w:sz w:val="18"/>
          <w:szCs w:val="18"/>
        </w:rPr>
        <w:t>minimis</w:t>
      </w:r>
      <w:proofErr w:type="spellEnd"/>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spellStart"/>
      <w:r w:rsidRPr="008F44D5">
        <w:rPr>
          <w:rFonts w:ascii="Century Gothic" w:eastAsia="Arial" w:hAnsi="Century Gothic" w:cs="Calibri"/>
          <w:color w:val="000000" w:themeColor="text1"/>
          <w:sz w:val="18"/>
          <w:szCs w:val="18"/>
        </w:rPr>
        <w:t>drona</w:t>
      </w:r>
      <w:proofErr w:type="spellEnd"/>
      <w:r w:rsidRPr="008F44D5">
        <w:rPr>
          <w:rFonts w:ascii="Century Gothic" w:eastAsia="Arial" w:hAnsi="Century Gothic" w:cs="Calibri"/>
          <w:color w:val="000000" w:themeColor="text1"/>
          <w:sz w:val="18"/>
          <w:szCs w:val="18"/>
        </w:rPr>
        <w:t>, w przypadku braku posiadania odpowiednich uprawnień</w:t>
      </w:r>
    </w:p>
    <w:p w14:paraId="4B692FDC"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 koszty tłumaczenia przysięgłego,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prowadzenie salonów gier hazardowych, usług paramedycznych,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r w:rsidRPr="008F44D5">
        <w:rPr>
          <w:rFonts w:ascii="Century Gothic" w:hAnsi="Century Gothic" w:cs="Calibri"/>
          <w:color w:val="000000" w:themeColor="text1"/>
          <w:sz w:val="18"/>
          <w:szCs w:val="18"/>
          <w:shd w:val="clear" w:color="auto" w:fill="FFFFFF"/>
        </w:rPr>
        <w:t>dropshipping</w:t>
      </w:r>
      <w:proofErr w:type="spellEnd"/>
      <w:r w:rsidRPr="008F44D5">
        <w:rPr>
          <w:rFonts w:ascii="Century Gothic" w:hAnsi="Century Gothic" w:cs="Calibri"/>
          <w:color w:val="000000" w:themeColor="text1"/>
          <w:sz w:val="18"/>
          <w:szCs w:val="18"/>
          <w:shd w:val="clear" w:color="auto" w:fill="FFFFFF"/>
        </w:rPr>
        <w:t>.</w:t>
      </w:r>
    </w:p>
    <w:p w14:paraId="416C9A45" w14:textId="78067FB1"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lastRenderedPageBreak/>
        <w:t xml:space="preserve">działalność w zakresie wynajmu: pomieszczeń, urządzeń, sprzętów, pojazdów, akcesoriów itp. </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0A95520C"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B52223" w:rsidRPr="008F44D5">
        <w:rPr>
          <w:rFonts w:ascii="Century Gothic" w:hAnsi="Century Gothic"/>
          <w:b/>
          <w:color w:val="000000" w:themeColor="text1"/>
          <w:sz w:val="18"/>
          <w:szCs w:val="18"/>
        </w:rPr>
        <w:t>5 0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1B17320A"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7B53B2" w:rsidRPr="008F44D5">
        <w:rPr>
          <w:rFonts w:ascii="Century Gothic" w:hAnsi="Century Gothic"/>
          <w:b/>
          <w:color w:val="000000" w:themeColor="text1"/>
          <w:sz w:val="18"/>
          <w:szCs w:val="18"/>
        </w:rPr>
        <w:t>5 0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705353" w:rsidRPr="003C6CDD">
        <w:rPr>
          <w:rFonts w:ascii="Century Gothic" w:hAnsi="Century Gothic"/>
          <w:b/>
          <w:color w:val="000000" w:themeColor="text1"/>
          <w:sz w:val="18"/>
          <w:szCs w:val="18"/>
        </w:rPr>
        <w:t>co najmniej 3 700zł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 xml:space="preserve">de </w:t>
      </w:r>
      <w:proofErr w:type="spellStart"/>
      <w:r w:rsidRPr="009A3220">
        <w:rPr>
          <w:rFonts w:ascii="Century Gothic" w:hAnsi="Century Gothic"/>
          <w:i/>
          <w:sz w:val="18"/>
          <w:szCs w:val="18"/>
        </w:rPr>
        <w:t>minimis</w:t>
      </w:r>
      <w:proofErr w:type="spellEnd"/>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7777777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-posiadanie wpisu na listę adwokatów, wykonywanie instalacji elektrycznej - posiadanie odpowiednich uprawnień SEP,</w:t>
      </w:r>
      <w:r w:rsidRPr="00F57B90">
        <w:rPr>
          <w:rFonts w:ascii="Century Gothic" w:hAnsi="Century Gothic"/>
          <w:sz w:val="18"/>
          <w:szCs w:val="18"/>
        </w:rPr>
        <w:br/>
        <w:t xml:space="preserve">w przypadku zakupu samochodu posiadanie dokumentu „PRAWO JAZDY”, przy zakupie specjalistycznych maszyn i urządzeń posiadanie uprawnień do ich obsługi jeżeli są one wymagane prawem). </w:t>
      </w:r>
    </w:p>
    <w:p w14:paraId="6E35AEA4" w14:textId="73A73A00"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dokumentami </w:t>
      </w:r>
      <w:r w:rsidR="00EF6BB3">
        <w:rPr>
          <w:rFonts w:ascii="Century Gothic" w:hAnsi="Century Gothic"/>
          <w:sz w:val="18"/>
          <w:szCs w:val="18"/>
        </w:rPr>
        <w:t xml:space="preserve"> w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76EB0A72"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 u</w:t>
      </w:r>
      <w:r>
        <w:rPr>
          <w:rFonts w:ascii="Century Gothic" w:hAnsi="Century Gothic"/>
          <w:sz w:val="18"/>
          <w:szCs w:val="18"/>
          <w:shd w:val="clear" w:color="auto" w:fill="FFFFFF"/>
        </w:rPr>
        <w:t>l.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1B3A7E8A" w14:textId="77777777" w:rsidR="007B53B2" w:rsidRPr="009A3220"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3DD3EF79" w14:textId="6027FE87" w:rsidR="0084484B" w:rsidRDefault="0084484B" w:rsidP="00C321D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F57B90" w:rsidRPr="00A10430">
        <w:rPr>
          <w:rFonts w:ascii="Century Gothic" w:hAnsi="Century Gothic"/>
          <w:sz w:val="18"/>
          <w:szCs w:val="18"/>
        </w:rPr>
        <w:t xml:space="preserve">Powiatowego  </w:t>
      </w:r>
      <w:r w:rsidRPr="00A10430">
        <w:rPr>
          <w:rFonts w:ascii="Century Gothic" w:hAnsi="Century Gothic"/>
          <w:sz w:val="18"/>
          <w:szCs w:val="18"/>
        </w:rPr>
        <w:t>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formalnym, merytorycznym i prawnym.</w:t>
      </w:r>
    </w:p>
    <w:p w14:paraId="0696B83F" w14:textId="77777777" w:rsidR="0084484B" w:rsidRPr="00A10430"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W trakcie prac Komisji dokonywana jest :</w:t>
      </w:r>
    </w:p>
    <w:p w14:paraId="5F2700B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kosztów zakupów, racjonalność wydatkowania środków,</w:t>
      </w:r>
    </w:p>
    <w:p w14:paraId="6A18588D"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spełnienie warunków określonych w rozporządzeniu do otrzymania środków na podjęcie działalności gospodarczej,</w:t>
      </w:r>
    </w:p>
    <w:p w14:paraId="4309FD41"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lokalnego rynku pracy (ilość podmiotów tożsamych z proponowaną działalnością), zapotrzebowanie danej usługi lub produktu na rynku)</w:t>
      </w:r>
    </w:p>
    <w:p w14:paraId="71456CE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aktywności bezrobotnego,</w:t>
      </w:r>
    </w:p>
    <w:p w14:paraId="0F6F7592"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 xml:space="preserve">analiza </w:t>
      </w:r>
      <w:proofErr w:type="spellStart"/>
      <w:r w:rsidRPr="009A3220">
        <w:rPr>
          <w:rFonts w:ascii="Century Gothic" w:hAnsi="Century Gothic"/>
          <w:sz w:val="18"/>
          <w:szCs w:val="18"/>
        </w:rPr>
        <w:t>ekonomiczno</w:t>
      </w:r>
      <w:proofErr w:type="spellEnd"/>
      <w:r w:rsidRPr="009A3220">
        <w:rPr>
          <w:rFonts w:ascii="Century Gothic" w:hAnsi="Century Gothic"/>
          <w:sz w:val="18"/>
          <w:szCs w:val="18"/>
        </w:rPr>
        <w:t>– finansowa przedsięwzięcia,</w:t>
      </w:r>
    </w:p>
    <w:p w14:paraId="41FE1690" w14:textId="77777777" w:rsidR="00A1043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miejsca prowadzenia (lokal) danej działalności,</w:t>
      </w:r>
    </w:p>
    <w:p w14:paraId="4BB478D0" w14:textId="4924327A" w:rsidR="00A10430"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sidR="00BA7258">
        <w:rPr>
          <w:rFonts w:ascii="Century Gothic" w:hAnsi="Century Gothic"/>
          <w:sz w:val="18"/>
          <w:szCs w:val="18"/>
        </w:rPr>
        <w:t xml:space="preserve"> ocenie przez co najmniej </w:t>
      </w:r>
      <w:r w:rsidR="00BA7258" w:rsidRPr="008F44D5">
        <w:rPr>
          <w:rFonts w:ascii="Century Gothic" w:hAnsi="Century Gothic"/>
          <w:color w:val="000000" w:themeColor="text1"/>
          <w:sz w:val="18"/>
          <w:szCs w:val="18"/>
        </w:rPr>
        <w:t>trzech</w:t>
      </w:r>
      <w:r w:rsidRPr="008F44D5">
        <w:rPr>
          <w:rFonts w:ascii="Century Gothic" w:hAnsi="Century Gothic"/>
          <w:color w:val="000000" w:themeColor="text1"/>
          <w:sz w:val="18"/>
          <w:szCs w:val="18"/>
        </w:rPr>
        <w:t xml:space="preserve"> </w:t>
      </w:r>
      <w:r w:rsidRPr="00A10430">
        <w:rPr>
          <w:rFonts w:ascii="Century Gothic" w:hAnsi="Century Gothic"/>
          <w:sz w:val="18"/>
          <w:szCs w:val="18"/>
        </w:rPr>
        <w:t>członków Komisji.</w:t>
      </w:r>
    </w:p>
    <w:p w14:paraId="658BAFFB"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Ocenie podlegają tylko wnioski kompletne i czytelne.</w:t>
      </w:r>
    </w:p>
    <w:p w14:paraId="3AEB2A05"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Wniosek oceniony pozytywnie pod względem merytorycznym, który zawiera braki formalne, podlega uzupełnieniu.</w:t>
      </w:r>
    </w:p>
    <w:p w14:paraId="6AB7C2A1"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Wnioskodawca jest zobowiązany do uzupełnienia braków formalnych w terminie 7 dni od dnia doręczenia pisemnego wezwania.</w:t>
      </w:r>
    </w:p>
    <w:p w14:paraId="26B278E6"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Nieuzupełnienie braków formalnych we wskazanym powyżej terminie spowoduje pozostawienie wniosku bez rozpatrzenia.</w:t>
      </w:r>
    </w:p>
    <w:p w14:paraId="27D4E44D" w14:textId="77777777" w:rsidR="00DD1656" w:rsidRDefault="00A10430"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w:t>
      </w:r>
      <w:r w:rsidR="0084484B" w:rsidRPr="00DD1656">
        <w:rPr>
          <w:rFonts w:ascii="Century Gothic" w:hAnsi="Century Gothic"/>
          <w:sz w:val="18"/>
          <w:szCs w:val="18"/>
        </w:rPr>
        <w:t>względnieniu lub odmowie uwzględnienia wniosku Dyrektor PUP powiadamia Wnioskodawcę w formie pisemnej w postaci papierowej</w:t>
      </w:r>
      <w:r w:rsidR="0084484B" w:rsidRPr="00DD1656">
        <w:rPr>
          <w:rFonts w:ascii="Century Gothic" w:hAnsi="Century Gothic"/>
          <w:color w:val="FF0000"/>
          <w:sz w:val="18"/>
          <w:szCs w:val="18"/>
        </w:rPr>
        <w:t xml:space="preserve"> </w:t>
      </w:r>
      <w:r w:rsidR="0084484B" w:rsidRPr="00DD1656">
        <w:rPr>
          <w:rFonts w:ascii="Century Gothic" w:hAnsi="Century Gothic"/>
          <w:sz w:val="18"/>
          <w:szCs w:val="18"/>
        </w:rPr>
        <w:t>(listem poleconym bez potwierdzenia odbioru) w terminie 30 dni od dnia zakończenia naboru. W przypadku nieuwzględnienia wniosku Urząd podaje przyczynę odmowy.</w:t>
      </w:r>
    </w:p>
    <w:p w14:paraId="2D472229" w14:textId="77777777" w:rsidR="00A10430" w:rsidRP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 xml:space="preserve">Komisja rekomenduje do objęcia wsparciem najlepsze wnioski w ramach dostępnej puli środków. Wsparciem mogą zostać objęte wyłącznie wnioski, które uzyskały pozytywną ocenę wszystkich członków </w:t>
      </w:r>
      <w:r w:rsidR="00A10430" w:rsidRPr="00DD1656">
        <w:rPr>
          <w:rFonts w:ascii="Century Gothic" w:hAnsi="Century Gothic"/>
          <w:sz w:val="18"/>
          <w:szCs w:val="18"/>
        </w:rPr>
        <w:t xml:space="preserve">komisji </w:t>
      </w:r>
      <w:r w:rsidRPr="00DD1656">
        <w:rPr>
          <w:rFonts w:ascii="Century Gothic" w:hAnsi="Century Gothic"/>
          <w:sz w:val="18"/>
          <w:szCs w:val="18"/>
        </w:rPr>
        <w:t>w poszczególnych elementach oceny merytorycznej.</w:t>
      </w:r>
    </w:p>
    <w:p w14:paraId="1CF63D9D"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 kwalifikacyjnych 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 przypadku nie przyznania środków nie przewiduje się procedury odwoławczej.</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77777777"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prowadzenia działalności gospodarczej przez okres co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77777777"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 ust. 7.</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3804436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złożenia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247E5BC5" w:rsidR="00E81CE7" w:rsidRPr="004F36DC" w:rsidRDefault="00E763FF" w:rsidP="001D0438">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105A42" w:rsidRPr="004F36DC">
        <w:rPr>
          <w:rFonts w:ascii="Century Gothic" w:hAnsi="Century Gothic"/>
          <w:sz w:val="18"/>
          <w:szCs w:val="18"/>
        </w:rPr>
        <w:br/>
      </w:r>
      <w:r w:rsidRPr="004F36DC">
        <w:rPr>
          <w:rFonts w:ascii="Century Gothic" w:hAnsi="Century Gothic"/>
          <w:sz w:val="18"/>
          <w:szCs w:val="18"/>
        </w:rPr>
        <w:t>w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rachunki,  umowy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xml:space="preserve">…” i klauzulą informacyjną dotyczącą Ochrony Danych Osobowych, dostępną na </w:t>
      </w:r>
      <w:hyperlink r:id="rId9" w:history="1">
        <w:r w:rsidR="003822F9">
          <w:rPr>
            <w:rStyle w:val="Hipercze"/>
          </w:rPr>
          <w:t>Ochrona danych osobowych | WORTAL (praca.gov.pl)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5D743F61" w14:textId="6227F568" w:rsidR="00C321DB" w:rsidRDefault="00C321DB" w:rsidP="00E81CE7">
      <w:pPr>
        <w:spacing w:line="360" w:lineRule="auto"/>
        <w:ind w:left="5387"/>
        <w:rPr>
          <w:rFonts w:ascii="Century Gothic" w:hAnsi="Century Gothic"/>
          <w:sz w:val="18"/>
          <w:szCs w:val="18"/>
        </w:rPr>
      </w:pPr>
    </w:p>
    <w:p w14:paraId="31FE87D9" w14:textId="6183B9B9" w:rsidR="00C321DB" w:rsidRDefault="00C321DB" w:rsidP="00E81CE7">
      <w:pPr>
        <w:spacing w:line="360" w:lineRule="auto"/>
        <w:ind w:left="5387"/>
        <w:rPr>
          <w:rFonts w:ascii="Century Gothic" w:hAnsi="Century Gothic"/>
          <w:sz w:val="18"/>
          <w:szCs w:val="18"/>
        </w:rPr>
      </w:pPr>
    </w:p>
    <w:p w14:paraId="1578D995" w14:textId="77777777" w:rsidR="00C321DB" w:rsidRDefault="00C321DB"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77777777" w:rsidR="008F3CE5" w:rsidRPr="009A3220"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21C21A76" w14:textId="77777777" w:rsidR="008F3CE5" w:rsidRDefault="008F3CE5" w:rsidP="009A3220">
      <w:pPr>
        <w:spacing w:line="276" w:lineRule="auto"/>
        <w:jc w:val="right"/>
        <w:rPr>
          <w:rFonts w:ascii="Century Gothic" w:hAnsi="Century Gothic"/>
          <w:color w:val="000000"/>
          <w:sz w:val="16"/>
          <w:szCs w:val="16"/>
        </w:rPr>
      </w:pPr>
    </w:p>
    <w:p w14:paraId="2E7DD35F" w14:textId="77777777" w:rsidR="000B6792" w:rsidRDefault="000B6792" w:rsidP="009A3220">
      <w:pPr>
        <w:spacing w:line="276" w:lineRule="auto"/>
        <w:jc w:val="right"/>
        <w:rPr>
          <w:rFonts w:ascii="Century Gothic" w:hAnsi="Century Gothic"/>
          <w:color w:val="000000"/>
          <w:sz w:val="16"/>
          <w:szCs w:val="16"/>
        </w:rPr>
      </w:pPr>
    </w:p>
    <w:p w14:paraId="2C22A753" w14:textId="77777777" w:rsidR="00F73819" w:rsidRDefault="00F73819" w:rsidP="009A3220">
      <w:pPr>
        <w:spacing w:line="276" w:lineRule="auto"/>
        <w:jc w:val="right"/>
        <w:rPr>
          <w:rFonts w:ascii="Century Gothic" w:hAnsi="Century Gothic"/>
          <w:color w:val="000000"/>
          <w:sz w:val="16"/>
          <w:szCs w:val="16"/>
        </w:rPr>
      </w:pPr>
    </w:p>
    <w:p w14:paraId="4879DD64" w14:textId="77777777" w:rsidR="00F73819" w:rsidRDefault="00F73819" w:rsidP="009A3220">
      <w:pPr>
        <w:spacing w:line="276" w:lineRule="auto"/>
        <w:jc w:val="right"/>
        <w:rPr>
          <w:rFonts w:ascii="Century Gothic" w:hAnsi="Century Gothic"/>
          <w:color w:val="000000"/>
          <w:sz w:val="16"/>
          <w:szCs w:val="16"/>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1940A80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1BD018D1" w:rsidR="00BD625D" w:rsidRDefault="00BD625D" w:rsidP="00060A59">
      <w:pPr>
        <w:pStyle w:val="Tekstpodstawowy"/>
        <w:tabs>
          <w:tab w:val="num" w:pos="540"/>
        </w:tabs>
        <w:spacing w:after="0"/>
        <w:jc w:val="both"/>
        <w:rPr>
          <w:rFonts w:ascii="Century Gothic" w:hAnsi="Century Gothic"/>
          <w:color w:val="000000"/>
        </w:rPr>
      </w:pPr>
    </w:p>
    <w:p w14:paraId="1954C3C7" w14:textId="09D6176D" w:rsidR="008D2E76" w:rsidRDefault="008D2E76" w:rsidP="00060A59">
      <w:pPr>
        <w:pStyle w:val="Tekstpodstawowy"/>
        <w:tabs>
          <w:tab w:val="num" w:pos="540"/>
        </w:tabs>
        <w:spacing w:after="0"/>
        <w:jc w:val="both"/>
        <w:rPr>
          <w:rFonts w:ascii="Century Gothic" w:hAnsi="Century Gothic"/>
          <w:color w:val="000000"/>
        </w:rPr>
      </w:pPr>
    </w:p>
    <w:p w14:paraId="754D6BDD" w14:textId="011640F7"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tbl>
      <w:tblPr>
        <w:tblpPr w:leftFromText="141" w:rightFromText="141" w:vertAnchor="page" w:horzAnchor="margin" w:tblpY="296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060A59" w:rsidRPr="00451593" w14:paraId="0D1AE6CE" w14:textId="77777777" w:rsidTr="00377A7E">
        <w:trPr>
          <w:trHeight w:val="360"/>
        </w:trPr>
        <w:tc>
          <w:tcPr>
            <w:tcW w:w="10065" w:type="dxa"/>
            <w:gridSpan w:val="3"/>
            <w:shd w:val="clear" w:color="auto" w:fill="D9D9D9"/>
            <w:vAlign w:val="center"/>
          </w:tcPr>
          <w:p w14:paraId="4C71B909"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41D46B08"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060A59" w:rsidRPr="00451593" w14:paraId="32111847" w14:textId="77777777" w:rsidTr="00377A7E">
        <w:trPr>
          <w:trHeight w:val="360"/>
        </w:trPr>
        <w:tc>
          <w:tcPr>
            <w:tcW w:w="6307" w:type="dxa"/>
            <w:vAlign w:val="center"/>
          </w:tcPr>
          <w:p w14:paraId="5C151898"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305D5C0E"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08A160F4" w14:textId="77777777" w:rsidR="00060A59" w:rsidRPr="00451593" w:rsidRDefault="00060A59" w:rsidP="00377A7E">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060A59" w:rsidRPr="00451593" w14:paraId="3155F0E4" w14:textId="77777777" w:rsidTr="00377A7E">
        <w:trPr>
          <w:trHeight w:val="360"/>
        </w:trPr>
        <w:tc>
          <w:tcPr>
            <w:tcW w:w="6307" w:type="dxa"/>
            <w:vAlign w:val="center"/>
          </w:tcPr>
          <w:p w14:paraId="54DD3901"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45E0B3B4"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85AE02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863F73D" w14:textId="77777777" w:rsidTr="00377A7E">
        <w:trPr>
          <w:trHeight w:val="360"/>
        </w:trPr>
        <w:tc>
          <w:tcPr>
            <w:tcW w:w="6307" w:type="dxa"/>
            <w:vAlign w:val="center"/>
          </w:tcPr>
          <w:p w14:paraId="4907218F"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9F56C6"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8D0AC0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4ADE4EB" w14:textId="77777777" w:rsidTr="00377A7E">
        <w:trPr>
          <w:trHeight w:val="360"/>
        </w:trPr>
        <w:tc>
          <w:tcPr>
            <w:tcW w:w="6307" w:type="dxa"/>
            <w:vAlign w:val="center"/>
          </w:tcPr>
          <w:p w14:paraId="7E109435"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12A62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F7DB5A2"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BBBF412" w14:textId="77777777" w:rsidTr="00377A7E">
        <w:trPr>
          <w:trHeight w:val="360"/>
        </w:trPr>
        <w:tc>
          <w:tcPr>
            <w:tcW w:w="6307" w:type="dxa"/>
            <w:vAlign w:val="center"/>
          </w:tcPr>
          <w:p w14:paraId="1E33AF6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3FDD3725"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49964C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2F6A60D" w14:textId="77777777" w:rsidTr="00377A7E">
        <w:trPr>
          <w:trHeight w:val="360"/>
        </w:trPr>
        <w:tc>
          <w:tcPr>
            <w:tcW w:w="6307" w:type="dxa"/>
            <w:vAlign w:val="center"/>
          </w:tcPr>
          <w:p w14:paraId="648F1ED8"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619F292C"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1FB5B9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6C9046E" w14:textId="77777777" w:rsidTr="00377A7E">
        <w:trPr>
          <w:trHeight w:val="360"/>
        </w:trPr>
        <w:tc>
          <w:tcPr>
            <w:tcW w:w="6307" w:type="dxa"/>
            <w:vAlign w:val="center"/>
          </w:tcPr>
          <w:p w14:paraId="1B4CF88C"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72E7D2B2"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28AED9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49F780" w14:textId="77777777" w:rsidTr="00377A7E">
        <w:trPr>
          <w:trHeight w:val="360"/>
        </w:trPr>
        <w:tc>
          <w:tcPr>
            <w:tcW w:w="6307" w:type="dxa"/>
            <w:vAlign w:val="center"/>
          </w:tcPr>
          <w:p w14:paraId="48BBDC9B"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6A0B0EA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53F2A6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87C89ED" w14:textId="77777777" w:rsidTr="00377A7E">
        <w:trPr>
          <w:trHeight w:val="360"/>
        </w:trPr>
        <w:tc>
          <w:tcPr>
            <w:tcW w:w="6307" w:type="dxa"/>
            <w:vAlign w:val="center"/>
          </w:tcPr>
          <w:p w14:paraId="67A8B3AD"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7.</w:t>
            </w:r>
          </w:p>
        </w:tc>
        <w:tc>
          <w:tcPr>
            <w:tcW w:w="1985" w:type="dxa"/>
            <w:vAlign w:val="center"/>
          </w:tcPr>
          <w:p w14:paraId="4E01ED4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AF9B40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1C6BF7C" w14:textId="77777777" w:rsidTr="00377A7E">
        <w:trPr>
          <w:trHeight w:val="360"/>
        </w:trPr>
        <w:tc>
          <w:tcPr>
            <w:tcW w:w="6307" w:type="dxa"/>
            <w:tcBorders>
              <w:bottom w:val="single" w:sz="18" w:space="0" w:color="auto"/>
            </w:tcBorders>
            <w:vAlign w:val="center"/>
          </w:tcPr>
          <w:p w14:paraId="7CC3F59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8.</w:t>
            </w:r>
          </w:p>
        </w:tc>
        <w:tc>
          <w:tcPr>
            <w:tcW w:w="1985" w:type="dxa"/>
            <w:tcBorders>
              <w:bottom w:val="single" w:sz="18" w:space="0" w:color="auto"/>
            </w:tcBorders>
            <w:vAlign w:val="center"/>
          </w:tcPr>
          <w:p w14:paraId="04B2111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3E46EB8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929BF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0ACD44A" w14:textId="77777777" w:rsidR="00060A59" w:rsidRPr="00132333" w:rsidRDefault="00060A59" w:rsidP="00377A7E">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158BF01"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A42B9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7D11579" w14:textId="77777777" w:rsidTr="00377A7E">
        <w:trPr>
          <w:trHeight w:val="360"/>
        </w:trPr>
        <w:tc>
          <w:tcPr>
            <w:tcW w:w="6307" w:type="dxa"/>
            <w:tcBorders>
              <w:top w:val="single" w:sz="18" w:space="0" w:color="auto"/>
            </w:tcBorders>
            <w:vAlign w:val="center"/>
          </w:tcPr>
          <w:p w14:paraId="01920F04"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B56CB04" w14:textId="77777777" w:rsidR="00060A59" w:rsidRPr="00451593" w:rsidRDefault="00060A59" w:rsidP="00377A7E">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2BB74BF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1EB38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C76533C" w14:textId="77777777" w:rsidTr="00377A7E">
        <w:trPr>
          <w:trHeight w:val="360"/>
        </w:trPr>
        <w:tc>
          <w:tcPr>
            <w:tcW w:w="6307" w:type="dxa"/>
            <w:vAlign w:val="center"/>
          </w:tcPr>
          <w:p w14:paraId="1B318DE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71D098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1002F4C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D359272" w14:textId="77777777" w:rsidTr="00377A7E">
        <w:trPr>
          <w:trHeight w:val="360"/>
        </w:trPr>
        <w:tc>
          <w:tcPr>
            <w:tcW w:w="6307" w:type="dxa"/>
            <w:vAlign w:val="center"/>
          </w:tcPr>
          <w:p w14:paraId="4263FAD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1099EB7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BEBB96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653AE7" w14:textId="77777777" w:rsidTr="00377A7E">
        <w:trPr>
          <w:trHeight w:val="360"/>
        </w:trPr>
        <w:tc>
          <w:tcPr>
            <w:tcW w:w="6307" w:type="dxa"/>
            <w:vAlign w:val="center"/>
          </w:tcPr>
          <w:p w14:paraId="2B3FDF08"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4C5BF18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E4E78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4CAA3CD" w14:textId="77777777" w:rsidTr="00377A7E">
        <w:trPr>
          <w:trHeight w:val="360"/>
        </w:trPr>
        <w:tc>
          <w:tcPr>
            <w:tcW w:w="6307" w:type="dxa"/>
            <w:vAlign w:val="center"/>
          </w:tcPr>
          <w:p w14:paraId="7D9180C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205B8A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08A4D7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4D6CF6F" w14:textId="77777777" w:rsidTr="00377A7E">
        <w:trPr>
          <w:trHeight w:val="360"/>
        </w:trPr>
        <w:tc>
          <w:tcPr>
            <w:tcW w:w="6307" w:type="dxa"/>
            <w:vAlign w:val="center"/>
          </w:tcPr>
          <w:p w14:paraId="3CFAB395"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78C8393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448B86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358154A3" w14:textId="77777777" w:rsidTr="00377A7E">
        <w:trPr>
          <w:trHeight w:val="360"/>
        </w:trPr>
        <w:tc>
          <w:tcPr>
            <w:tcW w:w="6307" w:type="dxa"/>
            <w:vAlign w:val="center"/>
          </w:tcPr>
          <w:p w14:paraId="1FE0BFE0"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0C2DB31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03C547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1423B3" w14:textId="77777777" w:rsidTr="00377A7E">
        <w:trPr>
          <w:trHeight w:val="360"/>
        </w:trPr>
        <w:tc>
          <w:tcPr>
            <w:tcW w:w="6307" w:type="dxa"/>
            <w:vAlign w:val="center"/>
          </w:tcPr>
          <w:p w14:paraId="3D98D146"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2AA13F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06FBA5C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5C40BF5" w14:textId="77777777" w:rsidTr="00377A7E">
        <w:trPr>
          <w:trHeight w:val="360"/>
        </w:trPr>
        <w:tc>
          <w:tcPr>
            <w:tcW w:w="6307" w:type="dxa"/>
            <w:tcBorders>
              <w:bottom w:val="single" w:sz="18" w:space="0" w:color="auto"/>
            </w:tcBorders>
            <w:vAlign w:val="center"/>
          </w:tcPr>
          <w:p w14:paraId="42AA8AC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2399EA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62C049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6ACF4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4D0B69DB" w14:textId="77777777" w:rsidR="00060A59" w:rsidRPr="00132333" w:rsidRDefault="00060A59" w:rsidP="00377A7E">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49E8C4B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01CF3EE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9E3B541" w14:textId="77777777" w:rsidTr="00377A7E">
        <w:trPr>
          <w:trHeight w:val="360"/>
        </w:trPr>
        <w:tc>
          <w:tcPr>
            <w:tcW w:w="6307" w:type="dxa"/>
            <w:tcBorders>
              <w:top w:val="single" w:sz="18" w:space="0" w:color="auto"/>
            </w:tcBorders>
            <w:vAlign w:val="center"/>
          </w:tcPr>
          <w:p w14:paraId="341A1DF7"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68FC556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36522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E738DDE" w14:textId="77777777" w:rsidTr="00377A7E">
        <w:trPr>
          <w:trHeight w:val="360"/>
        </w:trPr>
        <w:tc>
          <w:tcPr>
            <w:tcW w:w="6307" w:type="dxa"/>
            <w:vAlign w:val="center"/>
          </w:tcPr>
          <w:p w14:paraId="3FAD614B" w14:textId="77777777" w:rsidR="00060A59" w:rsidRPr="00132333" w:rsidRDefault="00060A59" w:rsidP="00FD414B">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sidR="00213620">
              <w:rPr>
                <w:rFonts w:ascii="Century Gothic" w:hAnsi="Century Gothic" w:cs="Arial"/>
                <w:color w:val="000000"/>
                <w:sz w:val="16"/>
                <w:szCs w:val="16"/>
              </w:rPr>
              <w:t xml:space="preserve">zł. </w:t>
            </w:r>
          </w:p>
        </w:tc>
        <w:tc>
          <w:tcPr>
            <w:tcW w:w="1985" w:type="dxa"/>
            <w:vAlign w:val="center"/>
          </w:tcPr>
          <w:p w14:paraId="797A5C8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663D730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4EC737" w14:textId="77777777" w:rsidTr="00377A7E">
        <w:trPr>
          <w:trHeight w:val="360"/>
        </w:trPr>
        <w:tc>
          <w:tcPr>
            <w:tcW w:w="6307" w:type="dxa"/>
            <w:vAlign w:val="center"/>
          </w:tcPr>
          <w:p w14:paraId="121656D1"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7E0D493E"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EBFCE00"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bl>
    <w:p w14:paraId="0C3D746E" w14:textId="77777777" w:rsidR="000847C1" w:rsidRDefault="000847C1" w:rsidP="00060A59">
      <w:pPr>
        <w:pStyle w:val="Tekstpodstawowy"/>
        <w:tabs>
          <w:tab w:val="num" w:pos="540"/>
        </w:tabs>
        <w:spacing w:after="0"/>
        <w:jc w:val="both"/>
        <w:rPr>
          <w:rFonts w:ascii="Century Gothic" w:hAnsi="Century Gothic"/>
          <w:color w:val="000000"/>
        </w:rPr>
      </w:pPr>
    </w:p>
    <w:p w14:paraId="2CA865B8"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69FC32C" w14:textId="77777777" w:rsidR="009A3220" w:rsidRDefault="009A3220" w:rsidP="00060A59">
      <w:pPr>
        <w:tabs>
          <w:tab w:val="left" w:pos="6515"/>
        </w:tabs>
        <w:ind w:left="6372"/>
        <w:jc w:val="both"/>
        <w:rPr>
          <w:rFonts w:ascii="Century Gothic" w:hAnsi="Century Gothic" w:cs="Arial Narrow"/>
          <w:color w:val="000000"/>
          <w:sz w:val="18"/>
          <w:szCs w:val="18"/>
        </w:rPr>
      </w:pPr>
    </w:p>
    <w:p w14:paraId="7A0F38DC" w14:textId="77777777" w:rsidR="009A3220" w:rsidRDefault="009A3220" w:rsidP="00060A59">
      <w:pPr>
        <w:tabs>
          <w:tab w:val="left" w:pos="6515"/>
        </w:tabs>
        <w:ind w:left="6372"/>
        <w:jc w:val="both"/>
        <w:rPr>
          <w:rFonts w:ascii="Century Gothic" w:hAnsi="Century Gothic" w:cs="Arial Narrow"/>
          <w:color w:val="000000"/>
          <w:sz w:val="18"/>
          <w:szCs w:val="18"/>
        </w:rPr>
      </w:pPr>
    </w:p>
    <w:p w14:paraId="350553DF" w14:textId="77777777" w:rsidR="009A3220" w:rsidRDefault="009A3220" w:rsidP="00060A59">
      <w:pPr>
        <w:tabs>
          <w:tab w:val="left" w:pos="6515"/>
        </w:tabs>
        <w:ind w:left="6372"/>
        <w:jc w:val="both"/>
        <w:rPr>
          <w:rFonts w:ascii="Century Gothic" w:hAnsi="Century Gothic" w:cs="Arial Narrow"/>
          <w:color w:val="000000"/>
          <w:sz w:val="18"/>
          <w:szCs w:val="18"/>
        </w:rPr>
      </w:pPr>
    </w:p>
    <w:p w14:paraId="286F66E8" w14:textId="77777777" w:rsidR="009A3220" w:rsidRDefault="009A3220" w:rsidP="00060A59">
      <w:pPr>
        <w:tabs>
          <w:tab w:val="left" w:pos="6515"/>
        </w:tabs>
        <w:ind w:left="6372"/>
        <w:jc w:val="both"/>
        <w:rPr>
          <w:rFonts w:ascii="Century Gothic" w:hAnsi="Century Gothic" w:cs="Arial Narrow"/>
          <w:color w:val="000000"/>
          <w:sz w:val="18"/>
          <w:szCs w:val="18"/>
        </w:rPr>
      </w:pPr>
    </w:p>
    <w:p w14:paraId="54CBA467" w14:textId="77777777" w:rsidR="009A3220" w:rsidRDefault="009A3220" w:rsidP="00060A59">
      <w:pPr>
        <w:tabs>
          <w:tab w:val="left" w:pos="6515"/>
        </w:tabs>
        <w:ind w:left="6372"/>
        <w:jc w:val="both"/>
        <w:rPr>
          <w:rFonts w:ascii="Century Gothic" w:hAnsi="Century Gothic" w:cs="Arial Narrow"/>
          <w:color w:val="000000"/>
          <w:sz w:val="18"/>
          <w:szCs w:val="18"/>
        </w:rPr>
      </w:pPr>
    </w:p>
    <w:p w14:paraId="236EE042" w14:textId="7DB83208" w:rsidR="00317A3A" w:rsidRDefault="009B5480" w:rsidP="00060A59">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6F9DF979" w14:textId="77777777" w:rsidR="00317A3A" w:rsidRDefault="00317A3A" w:rsidP="00060A59">
      <w:pPr>
        <w:tabs>
          <w:tab w:val="left" w:pos="6515"/>
        </w:tabs>
        <w:ind w:left="6372"/>
        <w:jc w:val="both"/>
        <w:rPr>
          <w:rFonts w:ascii="Century Gothic" w:hAnsi="Century Gothic" w:cs="Arial Narrow"/>
          <w:color w:val="000000"/>
          <w:sz w:val="18"/>
          <w:szCs w:val="18"/>
        </w:rPr>
      </w:pPr>
    </w:p>
    <w:p w14:paraId="1A788B53"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78982140" w14:textId="77777777" w:rsidR="009B5480" w:rsidRDefault="009B5480" w:rsidP="00060A59">
      <w:pPr>
        <w:pStyle w:val="Tekstpodstawowy"/>
        <w:tabs>
          <w:tab w:val="num" w:pos="540"/>
        </w:tabs>
        <w:spacing w:after="0"/>
        <w:jc w:val="both"/>
        <w:rPr>
          <w:rFonts w:ascii="Century Gothic" w:hAnsi="Century Gothic"/>
          <w:color w:val="000000"/>
        </w:rPr>
      </w:pPr>
    </w:p>
    <w:p w14:paraId="41785FE5" w14:textId="77777777" w:rsidR="002F317D" w:rsidRDefault="002F317D"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7F409A12" w14:textId="77777777" w:rsidR="009B5480" w:rsidRDefault="009B5480" w:rsidP="00060A59">
      <w:pPr>
        <w:pStyle w:val="Tekstpodstawowy"/>
        <w:tabs>
          <w:tab w:val="num" w:pos="540"/>
        </w:tabs>
        <w:spacing w:after="0"/>
        <w:jc w:val="both"/>
        <w:rPr>
          <w:rFonts w:ascii="Century Gothic" w:hAnsi="Century Gothic"/>
          <w:color w:val="000000"/>
        </w:rPr>
      </w:pPr>
    </w:p>
    <w:p w14:paraId="6C638E43" w14:textId="77777777" w:rsidR="000847C1" w:rsidRDefault="000847C1" w:rsidP="0066080D">
      <w:pPr>
        <w:rPr>
          <w:rFonts w:ascii="Century Gothic" w:hAnsi="Century Gothic"/>
          <w:color w:val="000000"/>
          <w:sz w:val="16"/>
          <w:szCs w:val="16"/>
        </w:rPr>
      </w:pPr>
    </w:p>
    <w:sectPr w:rsidR="000847C1" w:rsidSect="000847C1">
      <w:headerReference w:type="even" r:id="rId10"/>
      <w:footerReference w:type="even" r:id="rId11"/>
      <w:footerReference w:type="default" r:id="rId12"/>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1B3A" w14:textId="77777777" w:rsidR="002F6C33" w:rsidRDefault="002F6C33" w:rsidP="00060A59">
      <w:r>
        <w:separator/>
      </w:r>
    </w:p>
  </w:endnote>
  <w:endnote w:type="continuationSeparator" w:id="0">
    <w:p w14:paraId="2407DB59" w14:textId="77777777" w:rsidR="002F6C33" w:rsidRDefault="002F6C33"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BCED" w14:textId="77777777" w:rsidR="00EF6BB3" w:rsidRPr="008641A3" w:rsidRDefault="00EF6BB3"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EF6BB3" w:rsidRPr="008641A3" w:rsidRDefault="00EF6BB3"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7130" w14:textId="78FB5DCA" w:rsidR="00EF6BB3" w:rsidRPr="009356EA" w:rsidRDefault="00EF6BB3">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5C42EC">
      <w:rPr>
        <w:rFonts w:ascii="Century Gothic" w:hAnsi="Century Gothic"/>
        <w:noProof/>
        <w:sz w:val="16"/>
        <w:szCs w:val="16"/>
      </w:rPr>
      <w:t>13</w:t>
    </w:r>
    <w:r w:rsidRPr="009356EA">
      <w:rPr>
        <w:rFonts w:ascii="Century Gothic" w:hAnsi="Century Gothic"/>
        <w:sz w:val="16"/>
        <w:szCs w:val="16"/>
      </w:rPr>
      <w:fldChar w:fldCharType="end"/>
    </w:r>
  </w:p>
  <w:p w14:paraId="57AC14AE" w14:textId="77777777" w:rsidR="00EF6BB3" w:rsidRPr="009356EA" w:rsidRDefault="00EF6BB3">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D3C1" w14:textId="77777777" w:rsidR="002F6C33" w:rsidRDefault="002F6C33" w:rsidP="00060A59">
      <w:r>
        <w:separator/>
      </w:r>
    </w:p>
  </w:footnote>
  <w:footnote w:type="continuationSeparator" w:id="0">
    <w:p w14:paraId="78EA5F16" w14:textId="77777777" w:rsidR="002F6C33" w:rsidRDefault="002F6C33" w:rsidP="0006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9EE6" w14:textId="77777777" w:rsidR="00EF6BB3" w:rsidRDefault="00EF6BB3"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EF6BB3" w:rsidRDefault="00EF6BB3" w:rsidP="00377A7E">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0"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0"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1"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E3A68FF"/>
    <w:multiLevelType w:val="hybridMultilevel"/>
    <w:tmpl w:val="9028F19A"/>
    <w:lvl w:ilvl="0" w:tplc="8580DF16">
      <w:start w:val="1"/>
      <w:numFmt w:val="decimal"/>
      <w:lvlText w:val="%1."/>
      <w:lvlJc w:val="righ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302392756">
    <w:abstractNumId w:val="5"/>
  </w:num>
  <w:num w:numId="2" w16cid:durableId="1954433301">
    <w:abstractNumId w:val="20"/>
  </w:num>
  <w:num w:numId="3" w16cid:durableId="1816331242">
    <w:abstractNumId w:val="34"/>
  </w:num>
  <w:num w:numId="4" w16cid:durableId="109860018">
    <w:abstractNumId w:val="28"/>
  </w:num>
  <w:num w:numId="5" w16cid:durableId="1050574076">
    <w:abstractNumId w:val="30"/>
  </w:num>
  <w:num w:numId="6" w16cid:durableId="880897259">
    <w:abstractNumId w:val="19"/>
  </w:num>
  <w:num w:numId="7" w16cid:durableId="632713283">
    <w:abstractNumId w:val="10"/>
  </w:num>
  <w:num w:numId="8" w16cid:durableId="1623655227">
    <w:abstractNumId w:val="11"/>
  </w:num>
  <w:num w:numId="9" w16cid:durableId="850291145">
    <w:abstractNumId w:val="9"/>
  </w:num>
  <w:num w:numId="10" w16cid:durableId="1203639941">
    <w:abstractNumId w:val="22"/>
  </w:num>
  <w:num w:numId="11" w16cid:durableId="727072315">
    <w:abstractNumId w:val="2"/>
  </w:num>
  <w:num w:numId="12" w16cid:durableId="829752884">
    <w:abstractNumId w:val="3"/>
  </w:num>
  <w:num w:numId="13" w16cid:durableId="838429562">
    <w:abstractNumId w:val="4"/>
  </w:num>
  <w:num w:numId="14" w16cid:durableId="216480515">
    <w:abstractNumId w:val="35"/>
  </w:num>
  <w:num w:numId="15" w16cid:durableId="1041978529">
    <w:abstractNumId w:val="7"/>
  </w:num>
  <w:num w:numId="16" w16cid:durableId="683553810">
    <w:abstractNumId w:val="18"/>
  </w:num>
  <w:num w:numId="17" w16cid:durableId="979848326">
    <w:abstractNumId w:val="8"/>
  </w:num>
  <w:num w:numId="18" w16cid:durableId="314845788">
    <w:abstractNumId w:val="26"/>
  </w:num>
  <w:num w:numId="19" w16cid:durableId="37096180">
    <w:abstractNumId w:val="15"/>
  </w:num>
  <w:num w:numId="20" w16cid:durableId="664824632">
    <w:abstractNumId w:val="25"/>
  </w:num>
  <w:num w:numId="21" w16cid:durableId="1865902685">
    <w:abstractNumId w:val="24"/>
  </w:num>
  <w:num w:numId="22" w16cid:durableId="1474249846">
    <w:abstractNumId w:val="23"/>
  </w:num>
  <w:num w:numId="23" w16cid:durableId="809054485">
    <w:abstractNumId w:val="29"/>
  </w:num>
  <w:num w:numId="24" w16cid:durableId="212740748">
    <w:abstractNumId w:val="33"/>
  </w:num>
  <w:num w:numId="25" w16cid:durableId="1162431502">
    <w:abstractNumId w:val="12"/>
  </w:num>
  <w:num w:numId="26" w16cid:durableId="1756777274">
    <w:abstractNumId w:val="6"/>
  </w:num>
  <w:num w:numId="27" w16cid:durableId="94597996">
    <w:abstractNumId w:val="32"/>
  </w:num>
  <w:num w:numId="28" w16cid:durableId="860900185">
    <w:abstractNumId w:val="13"/>
  </w:num>
  <w:num w:numId="29" w16cid:durableId="1825466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5234199">
    <w:abstractNumId w:val="14"/>
  </w:num>
  <w:num w:numId="31" w16cid:durableId="1866602900">
    <w:abstractNumId w:val="17"/>
  </w:num>
  <w:num w:numId="32" w16cid:durableId="1313409994">
    <w:abstractNumId w:val="27"/>
  </w:num>
  <w:num w:numId="33" w16cid:durableId="95954465">
    <w:abstractNumId w:val="0"/>
  </w:num>
  <w:num w:numId="34" w16cid:durableId="1258438486">
    <w:abstractNumId w:val="1"/>
  </w:num>
  <w:num w:numId="35" w16cid:durableId="1900631810">
    <w:abstractNumId w:val="16"/>
  </w:num>
  <w:num w:numId="36" w16cid:durableId="193987414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59"/>
    <w:rsid w:val="00005482"/>
    <w:rsid w:val="000129C0"/>
    <w:rsid w:val="00013FC7"/>
    <w:rsid w:val="00014A64"/>
    <w:rsid w:val="00015CFF"/>
    <w:rsid w:val="00017E9F"/>
    <w:rsid w:val="000228AD"/>
    <w:rsid w:val="00027525"/>
    <w:rsid w:val="000278FC"/>
    <w:rsid w:val="00043112"/>
    <w:rsid w:val="000438CA"/>
    <w:rsid w:val="000466ED"/>
    <w:rsid w:val="00051F9D"/>
    <w:rsid w:val="000524CE"/>
    <w:rsid w:val="00060A59"/>
    <w:rsid w:val="00065652"/>
    <w:rsid w:val="00077751"/>
    <w:rsid w:val="000847C1"/>
    <w:rsid w:val="000A262E"/>
    <w:rsid w:val="000A377A"/>
    <w:rsid w:val="000B173E"/>
    <w:rsid w:val="000B6792"/>
    <w:rsid w:val="000C5939"/>
    <w:rsid w:val="000D6B6B"/>
    <w:rsid w:val="000E0DD8"/>
    <w:rsid w:val="000F42FD"/>
    <w:rsid w:val="00105A42"/>
    <w:rsid w:val="00110805"/>
    <w:rsid w:val="00113151"/>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213620"/>
    <w:rsid w:val="00227875"/>
    <w:rsid w:val="002330DE"/>
    <w:rsid w:val="00233511"/>
    <w:rsid w:val="00235452"/>
    <w:rsid w:val="0023744E"/>
    <w:rsid w:val="002428FD"/>
    <w:rsid w:val="00246674"/>
    <w:rsid w:val="00263679"/>
    <w:rsid w:val="002645B1"/>
    <w:rsid w:val="0026490C"/>
    <w:rsid w:val="00272B7B"/>
    <w:rsid w:val="00276AC8"/>
    <w:rsid w:val="00284D91"/>
    <w:rsid w:val="0029284A"/>
    <w:rsid w:val="002942C6"/>
    <w:rsid w:val="002A2464"/>
    <w:rsid w:val="002A4F44"/>
    <w:rsid w:val="002A5E85"/>
    <w:rsid w:val="002B0B1F"/>
    <w:rsid w:val="002B130A"/>
    <w:rsid w:val="002B66C3"/>
    <w:rsid w:val="002C6378"/>
    <w:rsid w:val="002D4949"/>
    <w:rsid w:val="002E2153"/>
    <w:rsid w:val="002E4378"/>
    <w:rsid w:val="002F317D"/>
    <w:rsid w:val="002F6C33"/>
    <w:rsid w:val="00301723"/>
    <w:rsid w:val="00307CA8"/>
    <w:rsid w:val="00317A3A"/>
    <w:rsid w:val="00335590"/>
    <w:rsid w:val="00344237"/>
    <w:rsid w:val="00352F0D"/>
    <w:rsid w:val="003577ED"/>
    <w:rsid w:val="00364EFE"/>
    <w:rsid w:val="00371298"/>
    <w:rsid w:val="00376707"/>
    <w:rsid w:val="00377A7E"/>
    <w:rsid w:val="003822F9"/>
    <w:rsid w:val="0039239D"/>
    <w:rsid w:val="003947A2"/>
    <w:rsid w:val="003A07A6"/>
    <w:rsid w:val="003A2181"/>
    <w:rsid w:val="003A2C00"/>
    <w:rsid w:val="003A3DA0"/>
    <w:rsid w:val="003C569B"/>
    <w:rsid w:val="003C6CDD"/>
    <w:rsid w:val="003D2B8D"/>
    <w:rsid w:val="003D4173"/>
    <w:rsid w:val="003F6B4B"/>
    <w:rsid w:val="00404F2B"/>
    <w:rsid w:val="004066C6"/>
    <w:rsid w:val="0040671B"/>
    <w:rsid w:val="0040690A"/>
    <w:rsid w:val="00426F77"/>
    <w:rsid w:val="0043641F"/>
    <w:rsid w:val="00436C7D"/>
    <w:rsid w:val="00443083"/>
    <w:rsid w:val="00451868"/>
    <w:rsid w:val="00456FF5"/>
    <w:rsid w:val="00465CBF"/>
    <w:rsid w:val="00465E8B"/>
    <w:rsid w:val="00472512"/>
    <w:rsid w:val="00472A53"/>
    <w:rsid w:val="00474749"/>
    <w:rsid w:val="00486AB3"/>
    <w:rsid w:val="004961BC"/>
    <w:rsid w:val="00497477"/>
    <w:rsid w:val="004A788A"/>
    <w:rsid w:val="004D1976"/>
    <w:rsid w:val="004D669F"/>
    <w:rsid w:val="004D771C"/>
    <w:rsid w:val="004E253A"/>
    <w:rsid w:val="004E2F3B"/>
    <w:rsid w:val="004E5A19"/>
    <w:rsid w:val="004F36DC"/>
    <w:rsid w:val="004F5F9E"/>
    <w:rsid w:val="00502936"/>
    <w:rsid w:val="00506940"/>
    <w:rsid w:val="005113C1"/>
    <w:rsid w:val="005116A6"/>
    <w:rsid w:val="005416EF"/>
    <w:rsid w:val="0054290F"/>
    <w:rsid w:val="0055408C"/>
    <w:rsid w:val="005547BF"/>
    <w:rsid w:val="0055597C"/>
    <w:rsid w:val="00560375"/>
    <w:rsid w:val="00561FC5"/>
    <w:rsid w:val="00574E9B"/>
    <w:rsid w:val="00582ADB"/>
    <w:rsid w:val="00583A49"/>
    <w:rsid w:val="00586D94"/>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C3740"/>
    <w:rsid w:val="006D1511"/>
    <w:rsid w:val="006D322C"/>
    <w:rsid w:val="006D7EEE"/>
    <w:rsid w:val="006E0CFC"/>
    <w:rsid w:val="006E402B"/>
    <w:rsid w:val="006F1B93"/>
    <w:rsid w:val="00700803"/>
    <w:rsid w:val="00705353"/>
    <w:rsid w:val="00705E5D"/>
    <w:rsid w:val="00706A0C"/>
    <w:rsid w:val="00715F34"/>
    <w:rsid w:val="00724D66"/>
    <w:rsid w:val="00733C93"/>
    <w:rsid w:val="00744683"/>
    <w:rsid w:val="00747D5F"/>
    <w:rsid w:val="00756461"/>
    <w:rsid w:val="007866CB"/>
    <w:rsid w:val="00786ACC"/>
    <w:rsid w:val="00795693"/>
    <w:rsid w:val="007B53B2"/>
    <w:rsid w:val="007C0361"/>
    <w:rsid w:val="007C0863"/>
    <w:rsid w:val="007C1512"/>
    <w:rsid w:val="007C6488"/>
    <w:rsid w:val="007D4568"/>
    <w:rsid w:val="007E12AA"/>
    <w:rsid w:val="007F3EBF"/>
    <w:rsid w:val="007F4CFE"/>
    <w:rsid w:val="008064C2"/>
    <w:rsid w:val="00806D71"/>
    <w:rsid w:val="00823E66"/>
    <w:rsid w:val="0084484B"/>
    <w:rsid w:val="00844AEA"/>
    <w:rsid w:val="008473C8"/>
    <w:rsid w:val="00860A4C"/>
    <w:rsid w:val="00861A1A"/>
    <w:rsid w:val="00861C9B"/>
    <w:rsid w:val="00862306"/>
    <w:rsid w:val="0086331E"/>
    <w:rsid w:val="00867081"/>
    <w:rsid w:val="00877842"/>
    <w:rsid w:val="00884BE7"/>
    <w:rsid w:val="0088751F"/>
    <w:rsid w:val="00897D3C"/>
    <w:rsid w:val="008A2E49"/>
    <w:rsid w:val="008A5503"/>
    <w:rsid w:val="008A76DF"/>
    <w:rsid w:val="008D2E76"/>
    <w:rsid w:val="008E5403"/>
    <w:rsid w:val="008F1BA2"/>
    <w:rsid w:val="008F3CE5"/>
    <w:rsid w:val="008F44D5"/>
    <w:rsid w:val="009031C6"/>
    <w:rsid w:val="009040D2"/>
    <w:rsid w:val="00912666"/>
    <w:rsid w:val="00913787"/>
    <w:rsid w:val="00916FF2"/>
    <w:rsid w:val="009251B1"/>
    <w:rsid w:val="00930BCC"/>
    <w:rsid w:val="00933555"/>
    <w:rsid w:val="00933E9C"/>
    <w:rsid w:val="0094501A"/>
    <w:rsid w:val="009475DC"/>
    <w:rsid w:val="00981500"/>
    <w:rsid w:val="00983B02"/>
    <w:rsid w:val="00983D0E"/>
    <w:rsid w:val="00994004"/>
    <w:rsid w:val="00995DBB"/>
    <w:rsid w:val="00996A75"/>
    <w:rsid w:val="00997621"/>
    <w:rsid w:val="009A3220"/>
    <w:rsid w:val="009A67DD"/>
    <w:rsid w:val="009B5480"/>
    <w:rsid w:val="009E2976"/>
    <w:rsid w:val="009F7620"/>
    <w:rsid w:val="00A00AF4"/>
    <w:rsid w:val="00A04C71"/>
    <w:rsid w:val="00A10430"/>
    <w:rsid w:val="00A1526E"/>
    <w:rsid w:val="00A2764F"/>
    <w:rsid w:val="00A30F74"/>
    <w:rsid w:val="00A31333"/>
    <w:rsid w:val="00A31973"/>
    <w:rsid w:val="00A352A6"/>
    <w:rsid w:val="00A411B7"/>
    <w:rsid w:val="00A42D43"/>
    <w:rsid w:val="00A447D1"/>
    <w:rsid w:val="00A5272A"/>
    <w:rsid w:val="00A57707"/>
    <w:rsid w:val="00A6005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5226"/>
    <w:rsid w:val="00AF4B90"/>
    <w:rsid w:val="00AF5534"/>
    <w:rsid w:val="00AF63B0"/>
    <w:rsid w:val="00B02D1B"/>
    <w:rsid w:val="00B1024E"/>
    <w:rsid w:val="00B127FA"/>
    <w:rsid w:val="00B16504"/>
    <w:rsid w:val="00B17F9E"/>
    <w:rsid w:val="00B20193"/>
    <w:rsid w:val="00B20CA6"/>
    <w:rsid w:val="00B2685D"/>
    <w:rsid w:val="00B41B26"/>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877D7"/>
    <w:rsid w:val="00CA17C7"/>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D1656"/>
    <w:rsid w:val="00DD4232"/>
    <w:rsid w:val="00DD55CE"/>
    <w:rsid w:val="00DE6624"/>
    <w:rsid w:val="00DF3441"/>
    <w:rsid w:val="00DF4A34"/>
    <w:rsid w:val="00DF7030"/>
    <w:rsid w:val="00E02F2D"/>
    <w:rsid w:val="00E05375"/>
    <w:rsid w:val="00E0558E"/>
    <w:rsid w:val="00E12837"/>
    <w:rsid w:val="00E153A6"/>
    <w:rsid w:val="00E30178"/>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1020-CE5A-4E14-B054-DCEC2314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5826</Words>
  <Characters>34961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Jarek</cp:lastModifiedBy>
  <cp:revision>22</cp:revision>
  <cp:lastPrinted>2021-04-21T07:39:00Z</cp:lastPrinted>
  <dcterms:created xsi:type="dcterms:W3CDTF">2023-08-21T10:43:00Z</dcterms:created>
  <dcterms:modified xsi:type="dcterms:W3CDTF">2023-08-31T12:41:00Z</dcterms:modified>
</cp:coreProperties>
</file>