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500D08CA" w:rsidR="00456FF5" w:rsidRDefault="00C7016D" w:rsidP="00060A59">
      <w:pPr>
        <w:jc w:val="right"/>
        <w:rPr>
          <w:rFonts w:ascii="Century Gothic" w:hAnsi="Century Gothic" w:cs="Arial Narrow"/>
          <w:sz w:val="20"/>
          <w:szCs w:val="20"/>
        </w:rPr>
      </w:pPr>
      <w:r w:rsidRPr="0072597C">
        <w:rPr>
          <w:rFonts w:ascii="Century Gothic" w:hAnsi="Century Gothic" w:cs="Arial"/>
          <w:b/>
          <w:noProof/>
          <w:color w:val="000000"/>
          <w:shd w:val="clear" w:color="auto" w:fill="FFFFFF"/>
        </w:rPr>
        <w:drawing>
          <wp:anchor distT="0" distB="0" distL="114300" distR="114300" simplePos="0" relativeHeight="251659264" behindDoc="0" locked="0" layoutInCell="1" allowOverlap="1" wp14:anchorId="1F170E1E" wp14:editId="0611D580">
            <wp:simplePos x="0" y="0"/>
            <wp:positionH relativeFrom="column">
              <wp:posOffset>-34290</wp:posOffset>
            </wp:positionH>
            <wp:positionV relativeFrom="page">
              <wp:posOffset>609600</wp:posOffset>
            </wp:positionV>
            <wp:extent cx="1844675" cy="466090"/>
            <wp:effectExtent l="0" t="0" r="3175" b="0"/>
            <wp:wrapSquare wrapText="bothSides"/>
            <wp:docPr id="1" name="Obraz 1" descr="C:\Users\PUP\Desktop\MINISTRA BEZ OR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P\Desktop\MINISTRA BEZ ORŁ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17750" w14:textId="11DA8543" w:rsidR="00933086" w:rsidRPr="00933086" w:rsidRDefault="00933086" w:rsidP="00933086">
      <w:pPr>
        <w:jc w:val="both"/>
        <w:rPr>
          <w:rFonts w:ascii="Century Gothic" w:hAnsi="Century Gothic" w:cstheme="minorHAnsi"/>
          <w:color w:val="000000" w:themeColor="text1"/>
          <w:kern w:val="36"/>
          <w:sz w:val="18"/>
          <w:szCs w:val="18"/>
        </w:rPr>
      </w:pPr>
      <w:r w:rsidRPr="00933086">
        <w:rPr>
          <w:rFonts w:ascii="Century Gothic" w:hAnsi="Century Gothic"/>
          <w:color w:val="000000" w:themeColor="text1"/>
          <w:sz w:val="18"/>
          <w:szCs w:val="18"/>
        </w:rPr>
        <w:t>„</w:t>
      </w:r>
      <w:r w:rsidRPr="00933086">
        <w:rPr>
          <w:rFonts w:ascii="Century Gothic" w:hAnsi="Century Gothic" w:cstheme="minorHAnsi"/>
          <w:color w:val="000000" w:themeColor="text1"/>
          <w:kern w:val="36"/>
          <w:sz w:val="18"/>
          <w:szCs w:val="18"/>
        </w:rPr>
        <w:t xml:space="preserve">PROGRAM DLA ZWALNIANYCH PRACOWNIKÓW” </w:t>
      </w:r>
      <w:r>
        <w:rPr>
          <w:rFonts w:ascii="Century Gothic" w:hAnsi="Century Gothic"/>
          <w:color w:val="000000" w:themeColor="text1"/>
          <w:sz w:val="18"/>
          <w:szCs w:val="18"/>
        </w:rPr>
        <w:t>WSPIERANY</w:t>
      </w:r>
      <w:r w:rsidRPr="00933086">
        <w:rPr>
          <w:rFonts w:ascii="Century Gothic" w:hAnsi="Century Gothic"/>
          <w:color w:val="000000" w:themeColor="text1"/>
          <w:sz w:val="18"/>
          <w:szCs w:val="18"/>
        </w:rPr>
        <w:t xml:space="preserve"> ZE ŚRODKÓW REZERWY FUNDUSZU PRACY BĘDĄCEJ W DYSPOZYCJI MINISTRY RODZINY, PRACY I POLITYKI SPOŁECZNEJ</w:t>
      </w:r>
    </w:p>
    <w:p w14:paraId="52273AA7" w14:textId="234D1D10" w:rsidR="00C7016D" w:rsidRPr="00C7016D" w:rsidRDefault="00C7016D" w:rsidP="00933086">
      <w:pPr>
        <w:shd w:val="clear" w:color="auto" w:fill="FFFFFF"/>
        <w:spacing w:line="360" w:lineRule="auto"/>
        <w:jc w:val="both"/>
        <w:outlineLvl w:val="0"/>
        <w:rPr>
          <w:rFonts w:ascii="Century Gothic" w:hAnsi="Century Gothic"/>
          <w:color w:val="000000" w:themeColor="text1"/>
          <w:sz w:val="16"/>
          <w:szCs w:val="16"/>
        </w:rPr>
      </w:pP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77777777" w:rsidR="006B7A4D" w:rsidRDefault="006B7A4D" w:rsidP="00456FF5">
      <w:pPr>
        <w:spacing w:line="360" w:lineRule="auto"/>
        <w:rPr>
          <w:rFonts w:ascii="Century Gothic" w:hAnsi="Century Gothic"/>
          <w:b/>
          <w:sz w:val="26"/>
          <w:szCs w:val="26"/>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C7016D">
      <w:pPr>
        <w:jc w:val="center"/>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główna)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poboczna)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złotych:_________________________________________________________________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__;  __ __ __-__ __ __-__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68689560"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Adres siedziby prowadzenia  przyszłej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gdzie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Proszę uzasadnić konieczność  poniesienia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F96626">
              <w:rPr>
                <w:rFonts w:ascii="Century Gothic" w:hAnsi="Century Gothic"/>
                <w:sz w:val="18"/>
                <w:szCs w:val="18"/>
              </w:rPr>
            </w:r>
            <w:r w:rsidR="00F96626">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F96626">
              <w:rPr>
                <w:rFonts w:ascii="Century Gothic" w:hAnsi="Century Gothic"/>
                <w:sz w:val="18"/>
                <w:szCs w:val="18"/>
              </w:rPr>
            </w:r>
            <w:r w:rsidR="00F96626">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finansowe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otrzymałem(am)/nie otrzymałem(am)*</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otrzymałem(am)/nie otrzymałem(am)*</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zapoznałem(am)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podałem(am)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22F0C636"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r w:rsidRPr="00404F2B">
        <w:rPr>
          <w:rFonts w:ascii="Century Gothic" w:hAnsi="Century Gothic"/>
          <w:iCs/>
          <w:sz w:val="20"/>
          <w:szCs w:val="20"/>
        </w:rPr>
        <w:t>spełniam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2023/2831z 15.12.2023</w:t>
      </w:r>
      <w:r w:rsidR="008F151E">
        <w:rPr>
          <w:rFonts w:ascii="Century Gothic" w:hAnsi="Century Gothic"/>
          <w:i/>
          <w:iCs/>
          <w:sz w:val="20"/>
          <w:szCs w:val="20"/>
          <w:u w:val="wave" w:color="FF0000"/>
        </w:rPr>
        <w:t xml:space="preserve"> r.str.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733B30BB"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przyjmuję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r w:rsidR="00151D65" w:rsidRPr="00404F2B">
        <w:rPr>
          <w:rFonts w:ascii="Century Gothic" w:hAnsi="Century Gothic"/>
          <w:iCs/>
          <w:sz w:val="20"/>
          <w:szCs w:val="20"/>
        </w:rPr>
        <w:t>Pracy niezbędne</w:t>
      </w:r>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 xml:space="preserve">nie zostałem(am)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złożyłem(am)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byłem(am)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byłem(am)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zakończyłem(am)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otrzymałem(am)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 xml:space="preserve">nie odmówiłem(am)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przerwałem(am)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podjąłem(ęłam)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przerwałem(am)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0AF9B15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151D65"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76FD8420"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w:t>
      </w:r>
      <w:r w:rsidR="00151D65"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r>
        <w:rPr>
          <w:rFonts w:ascii="Century Gothic" w:hAnsi="Century Gothic"/>
          <w:sz w:val="20"/>
          <w:szCs w:val="20"/>
        </w:rPr>
        <w:t>gwarancja</w:t>
      </w:r>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F96626">
        <w:rPr>
          <w:rFonts w:ascii="Century Gothic" w:hAnsi="Century Gothic"/>
          <w:sz w:val="20"/>
          <w:szCs w:val="20"/>
        </w:rPr>
      </w:r>
      <w:r w:rsidR="00F96626">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zostałem(am)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obowiązujące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zm.</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str.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Dz.U. z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które</w:t>
      </w:r>
      <w:r w:rsidR="0084484B" w:rsidRPr="009A3220">
        <w:rPr>
          <w:rFonts w:ascii="Century Gothic" w:hAnsi="Century Gothic"/>
          <w:sz w:val="18"/>
          <w:szCs w:val="18"/>
        </w:rPr>
        <w:t xml:space="preserve"> spełniają poniższe kryteria:</w:t>
      </w:r>
    </w:p>
    <w:p w14:paraId="6B586CF6" w14:textId="1AC68630" w:rsidR="00943218" w:rsidRPr="00943218" w:rsidRDefault="00943218" w:rsidP="00943218">
      <w:pPr>
        <w:numPr>
          <w:ilvl w:val="0"/>
          <w:numId w:val="5"/>
        </w:numPr>
        <w:spacing w:line="360" w:lineRule="auto"/>
        <w:jc w:val="both"/>
        <w:rPr>
          <w:rFonts w:ascii="Century Gothic" w:hAnsi="Century Gothic"/>
          <w:color w:val="000000" w:themeColor="text1"/>
          <w:sz w:val="18"/>
          <w:szCs w:val="18"/>
        </w:rPr>
      </w:pPr>
      <w:r w:rsidRPr="00943218">
        <w:rPr>
          <w:rFonts w:ascii="Century Gothic" w:hAnsi="Century Gothic"/>
          <w:color w:val="000000" w:themeColor="text1"/>
          <w:sz w:val="18"/>
          <w:szCs w:val="18"/>
        </w:rPr>
        <w:t>nie są wspólnikami spółki osobowej lub spółki kapitałowej,</w:t>
      </w:r>
    </w:p>
    <w:p w14:paraId="44E8BAD5" w14:textId="6CE0137C"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 xml:space="preserve">zamierzają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zamierzają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w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1A6E25E2"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t>
      </w:r>
      <w:r w:rsidR="00151D65"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45E2A2FB" w:rsidR="00F10140" w:rsidRPr="00151D65" w:rsidRDefault="00733C93" w:rsidP="00FD414B">
      <w:pPr>
        <w:pStyle w:val="Akapitzlist"/>
        <w:numPr>
          <w:ilvl w:val="0"/>
          <w:numId w:val="28"/>
        </w:numPr>
        <w:spacing w:line="360" w:lineRule="auto"/>
        <w:jc w:val="both"/>
        <w:rPr>
          <w:rFonts w:ascii="Century Gothic" w:hAnsi="Century Gothic"/>
          <w:color w:val="000000" w:themeColor="text1"/>
          <w:sz w:val="18"/>
          <w:szCs w:val="18"/>
        </w:rPr>
      </w:pPr>
      <w:r>
        <w:rPr>
          <w:rFonts w:ascii="Century Gothic" w:hAnsi="Century Gothic"/>
          <w:sz w:val="18"/>
          <w:szCs w:val="18"/>
        </w:rPr>
        <w:t xml:space="preserve">w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może </w:t>
      </w:r>
      <w:r w:rsidR="006F4CF6" w:rsidRPr="00151D65">
        <w:rPr>
          <w:rFonts w:ascii="Century Gothic" w:hAnsi="Century Gothic"/>
          <w:color w:val="000000" w:themeColor="text1"/>
          <w:sz w:val="18"/>
          <w:szCs w:val="18"/>
        </w:rPr>
        <w:t xml:space="preserve">otrzymać </w:t>
      </w:r>
      <w:r w:rsidR="008A1CF5" w:rsidRPr="00151D65">
        <w:rPr>
          <w:rFonts w:ascii="Century Gothic" w:hAnsi="Century Gothic"/>
          <w:color w:val="000000" w:themeColor="text1"/>
          <w:sz w:val="18"/>
          <w:szCs w:val="18"/>
        </w:rPr>
        <w:t xml:space="preserve">zgodę na </w:t>
      </w:r>
      <w:r w:rsidR="00151D65" w:rsidRPr="00151D65">
        <w:rPr>
          <w:rFonts w:ascii="Century Gothic" w:hAnsi="Century Gothic"/>
          <w:color w:val="000000" w:themeColor="text1"/>
          <w:sz w:val="18"/>
          <w:szCs w:val="18"/>
        </w:rPr>
        <w:t>dofinansowanie zakupu</w:t>
      </w:r>
      <w:r w:rsidR="0084484B" w:rsidRPr="00151D65">
        <w:rPr>
          <w:rFonts w:ascii="Century Gothic" w:hAnsi="Century Gothic"/>
          <w:color w:val="000000" w:themeColor="text1"/>
          <w:sz w:val="18"/>
          <w:szCs w:val="18"/>
        </w:rPr>
        <w:t xml:space="preserve"> używanego środk</w:t>
      </w:r>
      <w:r w:rsidR="006E402B" w:rsidRPr="00151D65">
        <w:rPr>
          <w:rFonts w:ascii="Century Gothic" w:hAnsi="Century Gothic"/>
          <w:color w:val="000000" w:themeColor="text1"/>
          <w:sz w:val="18"/>
          <w:szCs w:val="18"/>
        </w:rPr>
        <w:t xml:space="preserve">a transportu (do 3,5 tony), do </w:t>
      </w:r>
      <w:r w:rsidR="00033CC6" w:rsidRPr="00151D65">
        <w:rPr>
          <w:rFonts w:ascii="Century Gothic" w:hAnsi="Century Gothic"/>
          <w:color w:val="000000" w:themeColor="text1"/>
          <w:sz w:val="18"/>
          <w:szCs w:val="18"/>
        </w:rPr>
        <w:t xml:space="preserve">kwoty </w:t>
      </w:r>
      <w:r w:rsidR="00A507D7" w:rsidRPr="00151D65">
        <w:rPr>
          <w:rFonts w:ascii="Century Gothic" w:hAnsi="Century Gothic"/>
          <w:b/>
          <w:color w:val="000000" w:themeColor="text1"/>
          <w:sz w:val="18"/>
          <w:szCs w:val="18"/>
        </w:rPr>
        <w:t>7 000</w:t>
      </w:r>
      <w:r w:rsidR="00F10140" w:rsidRPr="00151D65">
        <w:rPr>
          <w:rFonts w:ascii="Century Gothic" w:hAnsi="Century Gothic"/>
          <w:color w:val="000000" w:themeColor="text1"/>
          <w:sz w:val="18"/>
          <w:szCs w:val="18"/>
        </w:rPr>
        <w:t xml:space="preserve"> </w:t>
      </w:r>
      <w:r w:rsidR="00033CC6" w:rsidRPr="00151D65">
        <w:rPr>
          <w:rFonts w:ascii="Century Gothic" w:hAnsi="Century Gothic"/>
          <w:color w:val="000000" w:themeColor="text1"/>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podjęcie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drona,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Pr="00151D65">
        <w:rPr>
          <w:rFonts w:ascii="Century Gothic" w:hAnsi="Century Gothic"/>
          <w:color w:val="000000" w:themeColor="text1"/>
          <w:sz w:val="18"/>
          <w:szCs w:val="18"/>
        </w:rPr>
        <w:t>.</w:t>
      </w:r>
      <w:r w:rsidR="008A1CF5" w:rsidRPr="00151D65">
        <w:rPr>
          <w:rFonts w:ascii="Century Gothic" w:hAnsi="Century Gothic"/>
          <w:color w:val="000000" w:themeColor="text1"/>
          <w:sz w:val="18"/>
          <w:szCs w:val="18"/>
        </w:rPr>
        <w:t xml:space="preserve"> 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 xml:space="preserve">prowadzenie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hAnsi="Century Gothic" w:cs="Calibri"/>
          <w:color w:val="000000" w:themeColor="text1"/>
          <w:sz w:val="18"/>
          <w:szCs w:val="18"/>
          <w:shd w:val="clear" w:color="auto" w:fill="FFFFFF"/>
        </w:rPr>
        <w:t>dropshipping.</w:t>
      </w:r>
    </w:p>
    <w:p w14:paraId="416C9A45" w14:textId="590BD042" w:rsidR="000466ED" w:rsidRPr="00943218"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lastRenderedPageBreak/>
        <w:t xml:space="preserve">działalność w zakresie wynajmu: pomieszczeń, urządzeń, sprzętów, pojazdów, akcesoriów itp. </w:t>
      </w:r>
    </w:p>
    <w:p w14:paraId="35416724" w14:textId="52886051" w:rsidR="00943218" w:rsidRPr="00943218" w:rsidRDefault="00943218" w:rsidP="00943218">
      <w:pPr>
        <w:numPr>
          <w:ilvl w:val="0"/>
          <w:numId w:val="21"/>
        </w:numPr>
        <w:spacing w:line="360" w:lineRule="auto"/>
        <w:jc w:val="both"/>
        <w:rPr>
          <w:rFonts w:ascii="Century Gothic" w:hAnsi="Century Gothic"/>
          <w:color w:val="000000" w:themeColor="text1"/>
          <w:sz w:val="18"/>
          <w:szCs w:val="18"/>
        </w:rPr>
      </w:pPr>
      <w:r w:rsidRPr="00835B33">
        <w:rPr>
          <w:rFonts w:ascii="Century Gothic" w:hAnsi="Century Gothic"/>
          <w:color w:val="000000" w:themeColor="text1"/>
          <w:sz w:val="18"/>
          <w:szCs w:val="18"/>
        </w:rPr>
        <w:t xml:space="preserve">na </w:t>
      </w:r>
      <w:r w:rsidRPr="00835B33">
        <w:rPr>
          <w:rFonts w:ascii="Century Gothic" w:hAnsi="Century Gothic" w:cs="Arial"/>
          <w:color w:val="000000" w:themeColor="text1"/>
          <w:sz w:val="18"/>
          <w:szCs w:val="18"/>
        </w:rPr>
        <w:t>zakładanie bądź przystępowanie do spółki osobowej lub spółki kapitałowej w ramach działalności gospodarczej, na którą podejmujący działalność otrzyma dofinansowanie.</w:t>
      </w:r>
      <w:bookmarkStart w:id="0" w:name="_GoBack"/>
      <w:bookmarkEnd w:id="0"/>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6E3A2D0"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r w:rsidR="00151D65">
        <w:rPr>
          <w:rFonts w:ascii="Century Gothic" w:hAnsi="Century Gothic"/>
          <w:color w:val="000000" w:themeColor="text1"/>
          <w:sz w:val="18"/>
          <w:szCs w:val="18"/>
        </w:rPr>
        <w:t xml:space="preserve">lub </w:t>
      </w:r>
      <w:r w:rsidR="00151D65" w:rsidRPr="00151D65">
        <w:rPr>
          <w:rFonts w:ascii="Century Gothic" w:hAnsi="Century Gothic"/>
          <w:b/>
          <w:color w:val="000000" w:themeColor="text1"/>
          <w:sz w:val="18"/>
          <w:szCs w:val="18"/>
        </w:rPr>
        <w:t>poręczenie</w:t>
      </w:r>
      <w:r w:rsidR="00705353" w:rsidRPr="00151D65">
        <w:rPr>
          <w:rFonts w:ascii="Century Gothic" w:hAnsi="Century Gothic"/>
          <w:b/>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w:t>
      </w:r>
      <w:r w:rsidR="00C877D7">
        <w:rPr>
          <w:rFonts w:ascii="Century Gothic" w:hAnsi="Century Gothic"/>
          <w:sz w:val="18"/>
          <w:szCs w:val="18"/>
        </w:rPr>
        <w:lastRenderedPageBreak/>
        <w:t xml:space="preserve">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151D65"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Ocenie podlegają tylko wnioski kompletne i czytelne</w:t>
      </w:r>
      <w:r w:rsidR="00772E07">
        <w:rPr>
          <w:rFonts w:ascii="Century Gothic" w:hAnsi="Century Gothic"/>
          <w:sz w:val="18"/>
          <w:szCs w:val="18"/>
        </w:rPr>
        <w:t xml:space="preserve"> </w:t>
      </w:r>
      <w:r w:rsidR="00772E07" w:rsidRPr="00151D65">
        <w:rPr>
          <w:rFonts w:ascii="Century Gothic" w:hAnsi="Century Gothic"/>
          <w:color w:val="000000" w:themeColor="text1"/>
          <w:sz w:val="18"/>
          <w:szCs w:val="18"/>
        </w:rPr>
        <w:t>(</w:t>
      </w:r>
      <w:r w:rsidR="007F3E69" w:rsidRPr="00151D65">
        <w:rPr>
          <w:rFonts w:ascii="Century Gothic" w:hAnsi="Century Gothic"/>
          <w:color w:val="000000" w:themeColor="text1"/>
          <w:sz w:val="18"/>
          <w:szCs w:val="18"/>
        </w:rPr>
        <w:t xml:space="preserve"> </w:t>
      </w:r>
      <w:r w:rsidR="00772E07" w:rsidRPr="00151D65">
        <w:rPr>
          <w:rFonts w:ascii="Century Gothic" w:hAnsi="Century Gothic"/>
          <w:color w:val="000000" w:themeColor="text1"/>
          <w:sz w:val="18"/>
          <w:szCs w:val="18"/>
        </w:rPr>
        <w:t xml:space="preserve">z wypełnionymi rubrykami, zawierające podpisy wnioskodawcy oraz wszystkie wymagane załączniki i </w:t>
      </w:r>
      <w:r w:rsidR="007F3E69" w:rsidRPr="00151D65">
        <w:rPr>
          <w:rFonts w:ascii="Century Gothic" w:hAnsi="Century Gothic"/>
          <w:color w:val="000000" w:themeColor="text1"/>
          <w:sz w:val="18"/>
          <w:szCs w:val="18"/>
        </w:rPr>
        <w:t>dokumenty)</w:t>
      </w:r>
    </w:p>
    <w:p w14:paraId="5A14156F" w14:textId="078823B6" w:rsidR="002D63AC" w:rsidRPr="00151D65"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151D65">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151D65" w:rsidRDefault="002D63AC" w:rsidP="00987D96">
      <w:pPr>
        <w:numPr>
          <w:ilvl w:val="0"/>
          <w:numId w:val="24"/>
        </w:numPr>
        <w:spacing w:line="360" w:lineRule="auto"/>
        <w:ind w:left="360"/>
        <w:jc w:val="both"/>
        <w:rPr>
          <w:rFonts w:ascii="Century Gothic" w:hAnsi="Century Gothic"/>
          <w:color w:val="000000" w:themeColor="text1"/>
          <w:sz w:val="18"/>
          <w:szCs w:val="18"/>
        </w:rPr>
      </w:pPr>
      <w:r w:rsidRPr="00151D65">
        <w:rPr>
          <w:rFonts w:ascii="Century Gothic" w:hAnsi="Century Gothic"/>
          <w:color w:val="000000" w:themeColor="text1"/>
          <w:sz w:val="18"/>
          <w:szCs w:val="18"/>
        </w:rPr>
        <w:t>Wnioskodawca jest zobowiązany do uzupełnienia braków formalnych w term</w:t>
      </w:r>
      <w:r w:rsidR="00AE0B72" w:rsidRPr="00151D65">
        <w:rPr>
          <w:rFonts w:ascii="Century Gothic" w:hAnsi="Century Gothic"/>
          <w:color w:val="000000" w:themeColor="text1"/>
          <w:sz w:val="18"/>
          <w:szCs w:val="18"/>
        </w:rPr>
        <w:t>inie 5</w:t>
      </w:r>
      <w:r w:rsidRPr="00151D65">
        <w:rPr>
          <w:rFonts w:ascii="Century Gothic" w:hAnsi="Century Gothic"/>
          <w:color w:val="000000" w:themeColor="text1"/>
          <w:sz w:val="18"/>
          <w:szCs w:val="18"/>
        </w:rPr>
        <w:t xml:space="preserve"> dni </w:t>
      </w:r>
      <w:r w:rsidR="00AE0B72" w:rsidRPr="00151D65">
        <w:rPr>
          <w:rFonts w:ascii="Century Gothic" w:hAnsi="Century Gothic"/>
          <w:color w:val="000000" w:themeColor="text1"/>
          <w:sz w:val="18"/>
          <w:szCs w:val="18"/>
        </w:rPr>
        <w:t xml:space="preserve">roboczych </w:t>
      </w:r>
      <w:r w:rsidRPr="00151D65">
        <w:rPr>
          <w:rFonts w:ascii="Century Gothic" w:hAnsi="Century Gothic"/>
          <w:color w:val="000000" w:themeColor="text1"/>
          <w:sz w:val="18"/>
          <w:szCs w:val="18"/>
        </w:rPr>
        <w:t>od dnia doręczenia pisemnego wezwania.</w:t>
      </w:r>
      <w:r w:rsidR="00987D96" w:rsidRPr="00151D65">
        <w:rPr>
          <w:rFonts w:ascii="Century Gothic" w:hAnsi="Century Gothic"/>
          <w:color w:val="000000" w:themeColor="text1"/>
          <w:sz w:val="18"/>
          <w:szCs w:val="18"/>
        </w:rPr>
        <w:t xml:space="preserve"> </w:t>
      </w:r>
    </w:p>
    <w:p w14:paraId="024EEA35" w14:textId="3FC6740F" w:rsidR="002D63AC" w:rsidRPr="00151D65" w:rsidRDefault="00987D96" w:rsidP="00987D96">
      <w:pPr>
        <w:numPr>
          <w:ilvl w:val="0"/>
          <w:numId w:val="24"/>
        </w:numPr>
        <w:spacing w:line="360" w:lineRule="auto"/>
        <w:ind w:left="360"/>
        <w:jc w:val="both"/>
        <w:rPr>
          <w:rFonts w:ascii="Century Gothic" w:hAnsi="Century Gothic"/>
          <w:color w:val="000000" w:themeColor="text1"/>
          <w:sz w:val="18"/>
          <w:szCs w:val="18"/>
        </w:rPr>
      </w:pPr>
      <w:r w:rsidRPr="00151D65">
        <w:rPr>
          <w:rFonts w:ascii="Century Gothic" w:hAnsi="Century Gothic"/>
          <w:color w:val="000000" w:themeColor="text1"/>
          <w:sz w:val="18"/>
          <w:szCs w:val="18"/>
        </w:rPr>
        <w:t>Uzupełnienie braków formalnych</w:t>
      </w:r>
      <w:r w:rsidR="00325037" w:rsidRPr="00151D65">
        <w:rPr>
          <w:rFonts w:ascii="Century Gothic" w:hAnsi="Century Gothic"/>
          <w:color w:val="000000" w:themeColor="text1"/>
          <w:sz w:val="18"/>
          <w:szCs w:val="18"/>
        </w:rPr>
        <w:t xml:space="preserve"> w wymaganym terminie</w:t>
      </w:r>
      <w:r w:rsidRPr="00151D65">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151D65">
        <w:rPr>
          <w:rFonts w:ascii="Century Gothic" w:hAnsi="Century Gothic"/>
          <w:color w:val="000000" w:themeColor="text1"/>
          <w:sz w:val="18"/>
          <w:szCs w:val="18"/>
        </w:rPr>
        <w:t xml:space="preserve">Nieuzupełnienie braków formalnych we wskazanym powyżej terminie spowoduje pozostawienie wniosku </w:t>
      </w:r>
      <w:r w:rsidRPr="00987D96">
        <w:rPr>
          <w:rFonts w:ascii="Century Gothic" w:hAnsi="Century Gothic"/>
          <w:sz w:val="18"/>
          <w:szCs w:val="18"/>
        </w:rPr>
        <w:t>bez 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0A541625"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ocena </w:t>
      </w:r>
      <w:r w:rsidR="00DF094F" w:rsidRPr="007272BF">
        <w:rPr>
          <w:rFonts w:ascii="Century Gothic" w:hAnsi="Century Gothic"/>
          <w:color w:val="000000" w:themeColor="text1"/>
          <w:sz w:val="18"/>
          <w:szCs w:val="18"/>
        </w:rPr>
        <w:t>pomysł</w:t>
      </w:r>
      <w:r w:rsidR="00151D65">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spełnienie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r w:rsidRPr="009B3C50">
        <w:rPr>
          <w:rFonts w:ascii="Century Gothic" w:hAnsi="Century Gothic"/>
          <w:sz w:val="18"/>
          <w:szCs w:val="18"/>
        </w:rPr>
        <w:t>ocena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stan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analiza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r w:rsidRPr="007272BF">
        <w:rPr>
          <w:rFonts w:ascii="Century Gothic" w:hAnsi="Century Gothic"/>
          <w:color w:val="000000" w:themeColor="text1"/>
          <w:sz w:val="18"/>
          <w:szCs w:val="18"/>
        </w:rPr>
        <w:t>ocena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przypadku </w:t>
      </w:r>
      <w:r w:rsidRPr="00151D65">
        <w:rPr>
          <w:rFonts w:ascii="Century Gothic" w:hAnsi="Century Gothic"/>
          <w:color w:val="000000" w:themeColor="text1"/>
          <w:sz w:val="18"/>
          <w:szCs w:val="18"/>
          <w:u w:val="single"/>
        </w:rPr>
        <w:t>nie</w:t>
      </w:r>
      <w:r w:rsidR="0084484B" w:rsidRPr="00151D65">
        <w:rPr>
          <w:rFonts w:ascii="Century Gothic" w:hAnsi="Century Gothic"/>
          <w:color w:val="000000" w:themeColor="text1"/>
          <w:sz w:val="18"/>
          <w:szCs w:val="18"/>
          <w:u w:val="single"/>
        </w:rPr>
        <w:t>przyznania</w:t>
      </w:r>
      <w:r w:rsidR="0084484B" w:rsidRPr="004F0A81">
        <w:rPr>
          <w:rFonts w:ascii="Century Gothic" w:hAnsi="Century Gothic"/>
          <w:sz w:val="18"/>
          <w:szCs w:val="18"/>
          <w:u w:val="single"/>
        </w:rPr>
        <w:t xml:space="preserve"> 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lastRenderedPageBreak/>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prowadzenia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43B3352D"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xml:space="preserve">, jeżeli nastąpi jeden z przypadków określonych w ust. </w:t>
      </w:r>
      <w:r w:rsidR="002115A6" w:rsidRPr="002115A6">
        <w:rPr>
          <w:rFonts w:ascii="Century Gothic" w:hAnsi="Century Gothic"/>
          <w:color w:val="FF0000"/>
          <w:sz w:val="18"/>
          <w:szCs w:val="18"/>
        </w:rPr>
        <w:t>5</w:t>
      </w:r>
      <w:r w:rsidR="002115A6">
        <w:rPr>
          <w:rFonts w:ascii="Century Gothic" w:hAnsi="Century Gothic"/>
          <w:color w:val="FF0000"/>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60A217AA" w14:textId="409E4112" w:rsidR="002115A6" w:rsidRPr="007F3E69" w:rsidRDefault="00E763FF" w:rsidP="007F3E69">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złożenia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4BC43205"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r w:rsidR="00151D65" w:rsidRPr="00043112">
        <w:rPr>
          <w:rFonts w:ascii="Century Gothic" w:hAnsi="Century Gothic"/>
          <w:sz w:val="18"/>
          <w:szCs w:val="18"/>
        </w:rPr>
        <w:t>rachunki, umowy</w:t>
      </w:r>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20B7FBC" w:rsidR="007A2AC6" w:rsidRDefault="007A2AC6" w:rsidP="00E81CE7">
      <w:pPr>
        <w:spacing w:line="360" w:lineRule="auto"/>
        <w:jc w:val="center"/>
        <w:rPr>
          <w:rFonts w:ascii="Century Gothic" w:hAnsi="Century Gothic"/>
          <w:sz w:val="18"/>
          <w:szCs w:val="18"/>
        </w:rPr>
      </w:pPr>
    </w:p>
    <w:p w14:paraId="4DB204F4" w14:textId="2A7E3EFD" w:rsidR="007272BF" w:rsidRDefault="007272BF" w:rsidP="00987D96">
      <w:pPr>
        <w:spacing w:line="360" w:lineRule="auto"/>
        <w:rPr>
          <w:rFonts w:ascii="Century Gothic" w:hAnsi="Century Gothic"/>
          <w:sz w:val="18"/>
          <w:szCs w:val="18"/>
        </w:rPr>
      </w:pPr>
    </w:p>
    <w:p w14:paraId="48434999" w14:textId="25A1296C" w:rsidR="00151D65" w:rsidRDefault="00151D65" w:rsidP="00987D96">
      <w:pPr>
        <w:spacing w:line="360" w:lineRule="auto"/>
        <w:rPr>
          <w:rFonts w:ascii="Century Gothic" w:hAnsi="Century Gothic"/>
          <w:sz w:val="18"/>
          <w:szCs w:val="18"/>
        </w:rPr>
      </w:pPr>
    </w:p>
    <w:p w14:paraId="32BEDF8A" w14:textId="2F8482C6" w:rsidR="00151D65" w:rsidRDefault="00151D65" w:rsidP="00987D96">
      <w:pPr>
        <w:spacing w:line="360" w:lineRule="auto"/>
        <w:rPr>
          <w:rFonts w:ascii="Century Gothic" w:hAnsi="Century Gothic"/>
          <w:sz w:val="18"/>
          <w:szCs w:val="18"/>
        </w:rPr>
      </w:pPr>
    </w:p>
    <w:p w14:paraId="0999C10C" w14:textId="253A34CD" w:rsidR="00151D65" w:rsidRDefault="00151D65" w:rsidP="00987D96">
      <w:pPr>
        <w:spacing w:line="360" w:lineRule="auto"/>
        <w:rPr>
          <w:rFonts w:ascii="Century Gothic" w:hAnsi="Century Gothic"/>
          <w:sz w:val="18"/>
          <w:szCs w:val="18"/>
        </w:rPr>
      </w:pPr>
    </w:p>
    <w:p w14:paraId="45085E56" w14:textId="77777777" w:rsidR="00151D65" w:rsidRPr="009A3220" w:rsidRDefault="00151D65" w:rsidP="00987D96">
      <w:pPr>
        <w:spacing w:line="360" w:lineRule="auto"/>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lastRenderedPageBreak/>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37F47711" w:rsidR="00987D96" w:rsidRDefault="00987D96" w:rsidP="00060A59">
      <w:pPr>
        <w:pStyle w:val="Tekstpodstawowy"/>
        <w:tabs>
          <w:tab w:val="num" w:pos="540"/>
        </w:tabs>
        <w:spacing w:after="0"/>
        <w:jc w:val="both"/>
        <w:rPr>
          <w:rFonts w:ascii="Century Gothic" w:hAnsi="Century Gothic"/>
          <w:color w:val="000000"/>
        </w:rPr>
      </w:pPr>
    </w:p>
    <w:p w14:paraId="38889CE5" w14:textId="77777777" w:rsidR="00987D96" w:rsidRDefault="00987D96" w:rsidP="00060A59">
      <w:pPr>
        <w:pStyle w:val="Tekstpodstawowy"/>
        <w:tabs>
          <w:tab w:val="num" w:pos="540"/>
        </w:tabs>
        <w:spacing w:after="0"/>
        <w:jc w:val="both"/>
        <w:rPr>
          <w:rFonts w:ascii="Century Gothic" w:hAnsi="Century Gothic"/>
          <w:color w:val="000000"/>
        </w:rPr>
      </w:pPr>
    </w:p>
    <w:p w14:paraId="754D6BDD" w14:textId="26AF622E"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lastRenderedPageBreak/>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357CAFA8" w:rsidR="000847C1" w:rsidRDefault="000847C1" w:rsidP="0066080D">
      <w:pPr>
        <w:rPr>
          <w:rFonts w:ascii="Century Gothic" w:hAnsi="Century Gothic"/>
          <w:color w:val="000000"/>
          <w:sz w:val="16"/>
          <w:szCs w:val="16"/>
        </w:rPr>
      </w:pPr>
    </w:p>
    <w:p w14:paraId="0B6B947B" w14:textId="1255A139" w:rsidR="009937CA" w:rsidRDefault="009937CA" w:rsidP="0066080D">
      <w:pPr>
        <w:rPr>
          <w:rFonts w:ascii="Century Gothic" w:hAnsi="Century Gothic"/>
          <w:color w:val="000000"/>
          <w:sz w:val="16"/>
          <w:szCs w:val="16"/>
        </w:rPr>
      </w:pPr>
    </w:p>
    <w:p w14:paraId="7A16BFC0" w14:textId="1C13E962" w:rsidR="009937CA" w:rsidRDefault="009937CA" w:rsidP="0066080D">
      <w:pPr>
        <w:rPr>
          <w:rFonts w:ascii="Century Gothic" w:hAnsi="Century Gothic"/>
          <w:color w:val="000000"/>
          <w:sz w:val="16"/>
          <w:szCs w:val="16"/>
        </w:rPr>
      </w:pPr>
    </w:p>
    <w:p w14:paraId="42ED16C3" w14:textId="649E5941" w:rsidR="009937CA" w:rsidRDefault="009937CA" w:rsidP="0066080D">
      <w:pPr>
        <w:rPr>
          <w:rFonts w:ascii="Century Gothic" w:hAnsi="Century Gothic"/>
          <w:color w:val="000000"/>
          <w:sz w:val="16"/>
          <w:szCs w:val="16"/>
        </w:rPr>
      </w:pPr>
    </w:p>
    <w:p w14:paraId="29D31058" w14:textId="1D753CBC" w:rsidR="009937CA" w:rsidRDefault="009937CA" w:rsidP="0066080D">
      <w:pPr>
        <w:rPr>
          <w:rFonts w:ascii="Century Gothic" w:hAnsi="Century Gothic"/>
          <w:color w:val="000000"/>
          <w:sz w:val="16"/>
          <w:szCs w:val="16"/>
        </w:rPr>
      </w:pPr>
    </w:p>
    <w:p w14:paraId="35A7A94D" w14:textId="5D20C365" w:rsidR="009937CA" w:rsidRDefault="009937CA" w:rsidP="0066080D">
      <w:pPr>
        <w:rPr>
          <w:rFonts w:ascii="Century Gothic" w:hAnsi="Century Gothic"/>
          <w:color w:val="000000"/>
          <w:sz w:val="16"/>
          <w:szCs w:val="16"/>
        </w:rPr>
      </w:pPr>
    </w:p>
    <w:p w14:paraId="4CF4E98F" w14:textId="5B3C8067" w:rsidR="009937CA" w:rsidRDefault="009937CA" w:rsidP="0066080D">
      <w:pPr>
        <w:rPr>
          <w:rFonts w:ascii="Century Gothic" w:hAnsi="Century Gothic"/>
          <w:color w:val="000000"/>
          <w:sz w:val="16"/>
          <w:szCs w:val="16"/>
        </w:rPr>
      </w:pPr>
    </w:p>
    <w:p w14:paraId="633631F6" w14:textId="77777777" w:rsidR="009937CA" w:rsidRDefault="009937CA" w:rsidP="009937CA">
      <w:pPr>
        <w:rPr>
          <w:rFonts w:ascii="Century Gothic" w:hAnsi="Century Gothic"/>
          <w:color w:val="000000"/>
          <w:sz w:val="16"/>
          <w:szCs w:val="16"/>
        </w:rPr>
      </w:pPr>
    </w:p>
    <w:bookmarkStart w:id="1" w:name="_MON_1781076749"/>
    <w:bookmarkEnd w:id="1"/>
    <w:p w14:paraId="3127A148" w14:textId="77777777" w:rsidR="009937CA" w:rsidRDefault="009937CA" w:rsidP="009937CA">
      <w:pPr>
        <w:rPr>
          <w:rFonts w:ascii="Century Gothic" w:hAnsi="Century Gothic"/>
          <w:color w:val="000000"/>
          <w:sz w:val="16"/>
          <w:szCs w:val="16"/>
        </w:rPr>
      </w:pPr>
      <w:r w:rsidRPr="00EC6666">
        <w:rPr>
          <w:rFonts w:ascii="Century Gothic" w:hAnsi="Century Gothic"/>
          <w:color w:val="000000"/>
          <w:sz w:val="16"/>
          <w:szCs w:val="16"/>
        </w:rPr>
        <w:object w:dxaOrig="9576" w:dyaOrig="13048" w14:anchorId="054FD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652.2pt" o:ole="">
            <v:imagedata r:id="rId10" o:title=""/>
          </v:shape>
          <o:OLEObject Type="Embed" ProgID="Word.Document.12" ShapeID="_x0000_i1025" DrawAspect="Content" ObjectID="_1790403181" r:id="rId11">
            <o:FieldCodes>\s</o:FieldCodes>
          </o:OLEObject>
        </w:object>
      </w:r>
    </w:p>
    <w:p w14:paraId="3B16DDF0" w14:textId="77777777" w:rsidR="009937CA" w:rsidRDefault="009937CA" w:rsidP="0066080D">
      <w:pPr>
        <w:rPr>
          <w:rFonts w:ascii="Century Gothic" w:hAnsi="Century Gothic"/>
          <w:color w:val="000000"/>
          <w:sz w:val="16"/>
          <w:szCs w:val="16"/>
        </w:rPr>
      </w:pPr>
    </w:p>
    <w:sectPr w:rsidR="009937CA" w:rsidSect="000847C1">
      <w:headerReference w:type="even" r:id="rId12"/>
      <w:footerReference w:type="even" r:id="rId13"/>
      <w:footerReference w:type="default" r:id="rId14"/>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61D" w14:textId="77777777" w:rsidR="00F96626" w:rsidRDefault="00F96626" w:rsidP="00060A59">
      <w:r>
        <w:separator/>
      </w:r>
    </w:p>
  </w:endnote>
  <w:endnote w:type="continuationSeparator" w:id="0">
    <w:p w14:paraId="270EB4C0" w14:textId="77777777" w:rsidR="00F96626" w:rsidRDefault="00F96626"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5B6E57" w:rsidRPr="008641A3" w:rsidRDefault="005B6E57"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5B6E57" w:rsidRPr="008641A3" w:rsidRDefault="005B6E57"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6B3CC9A5" w:rsidR="005B6E57" w:rsidRPr="009356EA" w:rsidRDefault="005B6E57">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943218">
      <w:rPr>
        <w:rFonts w:ascii="Century Gothic" w:hAnsi="Century Gothic"/>
        <w:noProof/>
        <w:sz w:val="16"/>
        <w:szCs w:val="16"/>
      </w:rPr>
      <w:t>10</w:t>
    </w:r>
    <w:r w:rsidRPr="009356EA">
      <w:rPr>
        <w:rFonts w:ascii="Century Gothic" w:hAnsi="Century Gothic"/>
        <w:sz w:val="16"/>
        <w:szCs w:val="16"/>
      </w:rPr>
      <w:fldChar w:fldCharType="end"/>
    </w:r>
  </w:p>
  <w:p w14:paraId="57AC14AE" w14:textId="77777777" w:rsidR="005B6E57" w:rsidRPr="009356EA" w:rsidRDefault="005B6E57">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FDD9C" w14:textId="77777777" w:rsidR="00F96626" w:rsidRDefault="00F96626" w:rsidP="00060A59">
      <w:r>
        <w:separator/>
      </w:r>
    </w:p>
  </w:footnote>
  <w:footnote w:type="continuationSeparator" w:id="0">
    <w:p w14:paraId="6B6D7C2E" w14:textId="77777777" w:rsidR="00F96626" w:rsidRDefault="00F96626"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5B6E57" w:rsidRDefault="005B6E57"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5B6E57" w:rsidRDefault="005B6E57"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36"/>
  </w:num>
  <w:num w:numId="4">
    <w:abstractNumId w:val="30"/>
  </w:num>
  <w:num w:numId="5">
    <w:abstractNumId w:val="32"/>
  </w:num>
  <w:num w:numId="6">
    <w:abstractNumId w:val="20"/>
  </w:num>
  <w:num w:numId="7">
    <w:abstractNumId w:val="10"/>
  </w:num>
  <w:num w:numId="8">
    <w:abstractNumId w:val="11"/>
  </w:num>
  <w:num w:numId="9">
    <w:abstractNumId w:val="9"/>
  </w:num>
  <w:num w:numId="10">
    <w:abstractNumId w:val="23"/>
  </w:num>
  <w:num w:numId="11">
    <w:abstractNumId w:val="2"/>
  </w:num>
  <w:num w:numId="12">
    <w:abstractNumId w:val="3"/>
  </w:num>
  <w:num w:numId="13">
    <w:abstractNumId w:val="4"/>
  </w:num>
  <w:num w:numId="14">
    <w:abstractNumId w:val="37"/>
  </w:num>
  <w:num w:numId="15">
    <w:abstractNumId w:val="7"/>
  </w:num>
  <w:num w:numId="16">
    <w:abstractNumId w:val="18"/>
  </w:num>
  <w:num w:numId="17">
    <w:abstractNumId w:val="8"/>
  </w:num>
  <w:num w:numId="18">
    <w:abstractNumId w:val="27"/>
  </w:num>
  <w:num w:numId="19">
    <w:abstractNumId w:val="15"/>
  </w:num>
  <w:num w:numId="20">
    <w:abstractNumId w:val="26"/>
  </w:num>
  <w:num w:numId="21">
    <w:abstractNumId w:val="25"/>
  </w:num>
  <w:num w:numId="22">
    <w:abstractNumId w:val="24"/>
  </w:num>
  <w:num w:numId="23">
    <w:abstractNumId w:val="31"/>
  </w:num>
  <w:num w:numId="24">
    <w:abstractNumId w:val="35"/>
  </w:num>
  <w:num w:numId="25">
    <w:abstractNumId w:val="12"/>
  </w:num>
  <w:num w:numId="26">
    <w:abstractNumId w:val="6"/>
  </w:num>
  <w:num w:numId="27">
    <w:abstractNumId w:val="3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9"/>
  </w:num>
  <w:num w:numId="33">
    <w:abstractNumId w:val="0"/>
  </w:num>
  <w:num w:numId="34">
    <w:abstractNumId w:val="1"/>
  </w:num>
  <w:num w:numId="35">
    <w:abstractNumId w:val="16"/>
  </w:num>
  <w:num w:numId="36">
    <w:abstractNumId w:val="33"/>
  </w:num>
  <w:num w:numId="37">
    <w:abstractNumId w:val="28"/>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28AD"/>
    <w:rsid w:val="00027525"/>
    <w:rsid w:val="000278FC"/>
    <w:rsid w:val="00033CC6"/>
    <w:rsid w:val="00043112"/>
    <w:rsid w:val="000438CA"/>
    <w:rsid w:val="000466ED"/>
    <w:rsid w:val="00051F9D"/>
    <w:rsid w:val="000524CE"/>
    <w:rsid w:val="00060A59"/>
    <w:rsid w:val="00065652"/>
    <w:rsid w:val="00077751"/>
    <w:rsid w:val="000847C1"/>
    <w:rsid w:val="000A191A"/>
    <w:rsid w:val="000A262E"/>
    <w:rsid w:val="000A377A"/>
    <w:rsid w:val="000B173E"/>
    <w:rsid w:val="000B57F5"/>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1D6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200E48"/>
    <w:rsid w:val="002115A6"/>
    <w:rsid w:val="00213620"/>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76C9D"/>
    <w:rsid w:val="00486AB3"/>
    <w:rsid w:val="004961BC"/>
    <w:rsid w:val="00497477"/>
    <w:rsid w:val="004A788A"/>
    <w:rsid w:val="004D1976"/>
    <w:rsid w:val="004D669F"/>
    <w:rsid w:val="004D771C"/>
    <w:rsid w:val="004E253A"/>
    <w:rsid w:val="004E2F3B"/>
    <w:rsid w:val="004E5A19"/>
    <w:rsid w:val="004F0A81"/>
    <w:rsid w:val="004F23D8"/>
    <w:rsid w:val="004F36DC"/>
    <w:rsid w:val="004F5F9E"/>
    <w:rsid w:val="00502936"/>
    <w:rsid w:val="00506940"/>
    <w:rsid w:val="005113C1"/>
    <w:rsid w:val="005116A6"/>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24999"/>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6F4CF6"/>
    <w:rsid w:val="00700803"/>
    <w:rsid w:val="00705353"/>
    <w:rsid w:val="00705E5D"/>
    <w:rsid w:val="00706A0C"/>
    <w:rsid w:val="00710D12"/>
    <w:rsid w:val="0071385A"/>
    <w:rsid w:val="00715F34"/>
    <w:rsid w:val="00724D66"/>
    <w:rsid w:val="007272BF"/>
    <w:rsid w:val="00733C93"/>
    <w:rsid w:val="00744683"/>
    <w:rsid w:val="00747D5F"/>
    <w:rsid w:val="00756461"/>
    <w:rsid w:val="00756D1D"/>
    <w:rsid w:val="00772E07"/>
    <w:rsid w:val="007866CB"/>
    <w:rsid w:val="00786ACC"/>
    <w:rsid w:val="00795693"/>
    <w:rsid w:val="007A2AC6"/>
    <w:rsid w:val="007B53B2"/>
    <w:rsid w:val="007C0361"/>
    <w:rsid w:val="007C0863"/>
    <w:rsid w:val="007C1512"/>
    <w:rsid w:val="007C6488"/>
    <w:rsid w:val="007D4568"/>
    <w:rsid w:val="007E12AA"/>
    <w:rsid w:val="007F3E69"/>
    <w:rsid w:val="007F3EBF"/>
    <w:rsid w:val="007F4CFE"/>
    <w:rsid w:val="008003B2"/>
    <w:rsid w:val="008064C2"/>
    <w:rsid w:val="00806D71"/>
    <w:rsid w:val="00823E66"/>
    <w:rsid w:val="0084484B"/>
    <w:rsid w:val="00844AEA"/>
    <w:rsid w:val="008473C8"/>
    <w:rsid w:val="00860A4C"/>
    <w:rsid w:val="00861A1A"/>
    <w:rsid w:val="00861C9B"/>
    <w:rsid w:val="00862306"/>
    <w:rsid w:val="0086331E"/>
    <w:rsid w:val="00867081"/>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51B1"/>
    <w:rsid w:val="00930BCC"/>
    <w:rsid w:val="00933086"/>
    <w:rsid w:val="00933555"/>
    <w:rsid w:val="00933E9C"/>
    <w:rsid w:val="00943218"/>
    <w:rsid w:val="0094501A"/>
    <w:rsid w:val="009475DC"/>
    <w:rsid w:val="0097728C"/>
    <w:rsid w:val="00981500"/>
    <w:rsid w:val="00983B02"/>
    <w:rsid w:val="00983D0E"/>
    <w:rsid w:val="00987D96"/>
    <w:rsid w:val="009937CA"/>
    <w:rsid w:val="00994004"/>
    <w:rsid w:val="00995DBB"/>
    <w:rsid w:val="00996A75"/>
    <w:rsid w:val="00997621"/>
    <w:rsid w:val="009A3220"/>
    <w:rsid w:val="009A67DD"/>
    <w:rsid w:val="009B3C50"/>
    <w:rsid w:val="009B5480"/>
    <w:rsid w:val="009C704D"/>
    <w:rsid w:val="009E2976"/>
    <w:rsid w:val="009F7620"/>
    <w:rsid w:val="00A00AF4"/>
    <w:rsid w:val="00A04C71"/>
    <w:rsid w:val="00A10430"/>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E6EF3"/>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7016D"/>
    <w:rsid w:val="00C765A8"/>
    <w:rsid w:val="00C877D7"/>
    <w:rsid w:val="00CA17C7"/>
    <w:rsid w:val="00CA2DCE"/>
    <w:rsid w:val="00CA36B0"/>
    <w:rsid w:val="00CB1F4D"/>
    <w:rsid w:val="00CC5441"/>
    <w:rsid w:val="00CC7FB5"/>
    <w:rsid w:val="00CD3112"/>
    <w:rsid w:val="00CD485F"/>
    <w:rsid w:val="00CE4556"/>
    <w:rsid w:val="00CE5BC1"/>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85F1B"/>
    <w:rsid w:val="00F953EA"/>
    <w:rsid w:val="00F96626"/>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927F-16F7-4480-96B5-98E0DB10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5938</Words>
  <Characters>35632</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32</cp:revision>
  <cp:lastPrinted>2024-01-29T07:54:00Z</cp:lastPrinted>
  <dcterms:created xsi:type="dcterms:W3CDTF">2024-01-23T12:13:00Z</dcterms:created>
  <dcterms:modified xsi:type="dcterms:W3CDTF">2024-10-14T07:27:00Z</dcterms:modified>
</cp:coreProperties>
</file>